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4E36" w14:textId="77D67734" w:rsidR="00E05A49" w:rsidRDefault="005722E8" w:rsidP="005722E8">
      <w:pPr>
        <w:pStyle w:val="NoSpacing"/>
        <w:tabs>
          <w:tab w:val="center" w:pos="4680"/>
          <w:tab w:val="right" w:pos="9360"/>
        </w:tabs>
        <w:rPr>
          <w:b/>
          <w:bCs/>
          <w:sz w:val="24"/>
          <w:szCs w:val="24"/>
        </w:rPr>
      </w:pPr>
      <w:bookmarkStart w:id="0" w:name="_Hlk30240186"/>
      <w:bookmarkStart w:id="1" w:name="_Hlk40086421"/>
      <w:bookmarkStart w:id="2" w:name="_Hlk41132724"/>
      <w:r>
        <w:rPr>
          <w:b/>
          <w:bCs/>
          <w:sz w:val="24"/>
          <w:szCs w:val="24"/>
        </w:rPr>
        <w:tab/>
      </w:r>
      <w:r w:rsidR="009E2960">
        <w:rPr>
          <w:b/>
          <w:bCs/>
          <w:sz w:val="24"/>
          <w:szCs w:val="24"/>
        </w:rPr>
        <w:t>Florida Real Property and Business Litigation Report</w:t>
      </w:r>
      <w:r>
        <w:rPr>
          <w:b/>
          <w:bCs/>
          <w:sz w:val="24"/>
          <w:szCs w:val="24"/>
        </w:rPr>
        <w:tab/>
      </w:r>
    </w:p>
    <w:p w14:paraId="39CF9C4A" w14:textId="0806ACE4" w:rsidR="00E12EFC" w:rsidRDefault="009E2960" w:rsidP="00A746E7">
      <w:pPr>
        <w:pStyle w:val="NoSpacing"/>
        <w:tabs>
          <w:tab w:val="left" w:pos="50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Volume XIII, Issue </w:t>
      </w:r>
      <w:r w:rsidR="00932385">
        <w:rPr>
          <w:b/>
          <w:bCs/>
          <w:sz w:val="24"/>
          <w:szCs w:val="24"/>
        </w:rPr>
        <w:t>4</w:t>
      </w:r>
      <w:r w:rsidR="00324BC6">
        <w:rPr>
          <w:b/>
          <w:bCs/>
          <w:sz w:val="24"/>
          <w:szCs w:val="24"/>
        </w:rPr>
        <w:t>7</w:t>
      </w:r>
    </w:p>
    <w:p w14:paraId="24E571DA" w14:textId="421D8FE4" w:rsidR="00E05A49" w:rsidRDefault="006A0C2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324BC6">
        <w:rPr>
          <w:b/>
          <w:bCs/>
          <w:sz w:val="24"/>
          <w:szCs w:val="24"/>
        </w:rPr>
        <w:t>21</w:t>
      </w:r>
      <w:r w:rsidR="009E2960">
        <w:rPr>
          <w:b/>
          <w:bCs/>
          <w:sz w:val="24"/>
          <w:szCs w:val="24"/>
        </w:rPr>
        <w:t>, 2020</w:t>
      </w:r>
    </w:p>
    <w:p w14:paraId="44DAE34A" w14:textId="22F4A474" w:rsidR="00324BC6" w:rsidRDefault="009E2960" w:rsidP="00E7107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Manuel Farach</w:t>
      </w:r>
      <w:bookmarkEnd w:id="0"/>
      <w:bookmarkEnd w:id="1"/>
      <w:bookmarkEnd w:id="2"/>
    </w:p>
    <w:p w14:paraId="1E55C57E" w14:textId="5B8633F6" w:rsidR="00E71078" w:rsidRDefault="00E71078" w:rsidP="00E71078">
      <w:pPr>
        <w:pStyle w:val="NoSpacing"/>
        <w:jc w:val="center"/>
        <w:rPr>
          <w:b/>
          <w:bCs/>
          <w:sz w:val="24"/>
          <w:szCs w:val="24"/>
        </w:rPr>
      </w:pPr>
    </w:p>
    <w:p w14:paraId="570DE809" w14:textId="0C0F008C" w:rsidR="00E71078" w:rsidRDefault="00E71078" w:rsidP="00E71078">
      <w:pPr>
        <w:pStyle w:val="NoSpacing"/>
        <w:jc w:val="both"/>
        <w:rPr>
          <w:sz w:val="24"/>
          <w:szCs w:val="24"/>
        </w:rPr>
      </w:pPr>
      <w:r w:rsidRPr="00E71078">
        <w:rPr>
          <w:b/>
          <w:bCs/>
          <w:sz w:val="24"/>
          <w:szCs w:val="24"/>
        </w:rPr>
        <w:t>Bailey</w:t>
      </w:r>
      <w:r>
        <w:rPr>
          <w:b/>
          <w:bCs/>
          <w:sz w:val="24"/>
          <w:szCs w:val="24"/>
        </w:rPr>
        <w:t xml:space="preserve"> v. </w:t>
      </w:r>
      <w:r w:rsidRPr="00E71078">
        <w:rPr>
          <w:b/>
          <w:bCs/>
          <w:sz w:val="24"/>
          <w:szCs w:val="24"/>
        </w:rPr>
        <w:t>Women’s Pelvic Health</w:t>
      </w:r>
      <w:r w:rsidRPr="00E71078">
        <w:rPr>
          <w:b/>
          <w:bCs/>
          <w:sz w:val="24"/>
          <w:szCs w:val="24"/>
        </w:rPr>
        <w:t>, LLC</w:t>
      </w:r>
      <w:r>
        <w:rPr>
          <w:sz w:val="24"/>
          <w:szCs w:val="24"/>
        </w:rPr>
        <w:t>, Case</w:t>
      </w:r>
      <w:r w:rsidRPr="00E71078">
        <w:rPr>
          <w:sz w:val="24"/>
          <w:szCs w:val="24"/>
        </w:rPr>
        <w:t xml:space="preserve"> </w:t>
      </w:r>
      <w:r w:rsidRPr="00E71078">
        <w:rPr>
          <w:sz w:val="24"/>
          <w:szCs w:val="24"/>
        </w:rPr>
        <w:t>No. 1D19-1444</w:t>
      </w:r>
      <w:r>
        <w:rPr>
          <w:sz w:val="24"/>
          <w:szCs w:val="24"/>
        </w:rPr>
        <w:t xml:space="preserve"> (Fla. 1st DCA 2020).</w:t>
      </w:r>
    </w:p>
    <w:p w14:paraId="46843F41" w14:textId="78B8749D" w:rsidR="00E71078" w:rsidRDefault="00E71078" w:rsidP="00E71078">
      <w:pPr>
        <w:pStyle w:val="NoSpacing"/>
        <w:jc w:val="both"/>
        <w:rPr>
          <w:sz w:val="24"/>
          <w:szCs w:val="24"/>
        </w:rPr>
      </w:pPr>
      <w:r w:rsidRPr="00FC1BF8">
        <w:rPr>
          <w:sz w:val="24"/>
          <w:szCs w:val="24"/>
        </w:rPr>
        <w:t xml:space="preserve">Arbitration provisions which </w:t>
      </w:r>
      <w:r w:rsidR="00FC1BF8" w:rsidRPr="00FC1BF8">
        <w:rPr>
          <w:sz w:val="24"/>
          <w:szCs w:val="24"/>
        </w:rPr>
        <w:t xml:space="preserve">cover claims </w:t>
      </w:r>
      <w:r w:rsidR="00FC1BF8" w:rsidRPr="00FC1BF8">
        <w:rPr>
          <w:sz w:val="24"/>
          <w:szCs w:val="24"/>
        </w:rPr>
        <w:t>“arising out of or related to”</w:t>
      </w:r>
      <w:r w:rsidR="00FC1BF8" w:rsidRPr="00FC1BF8">
        <w:rPr>
          <w:sz w:val="24"/>
          <w:szCs w:val="24"/>
        </w:rPr>
        <w:t xml:space="preserve"> </w:t>
      </w:r>
      <w:r w:rsidR="008B3888">
        <w:rPr>
          <w:sz w:val="24"/>
          <w:szCs w:val="24"/>
        </w:rPr>
        <w:t xml:space="preserve">apply not only to </w:t>
      </w:r>
      <w:r w:rsidR="00FC1BF8" w:rsidRPr="00FC1BF8">
        <w:rPr>
          <w:sz w:val="24"/>
          <w:szCs w:val="24"/>
        </w:rPr>
        <w:t xml:space="preserve">claims </w:t>
      </w:r>
      <w:r w:rsidRPr="00FC1BF8">
        <w:rPr>
          <w:sz w:val="24"/>
          <w:szCs w:val="24"/>
        </w:rPr>
        <w:t>arising out of the parties’</w:t>
      </w:r>
      <w:r w:rsidR="00FC1BF8" w:rsidRPr="00FC1BF8">
        <w:rPr>
          <w:sz w:val="24"/>
          <w:szCs w:val="24"/>
        </w:rPr>
        <w:t xml:space="preserve"> </w:t>
      </w:r>
      <w:r w:rsidRPr="00FC1BF8">
        <w:rPr>
          <w:sz w:val="24"/>
          <w:szCs w:val="24"/>
        </w:rPr>
        <w:t xml:space="preserve">employment agreements, but </w:t>
      </w:r>
      <w:r w:rsidR="00FC1BF8" w:rsidRPr="00FC1BF8">
        <w:rPr>
          <w:sz w:val="24"/>
          <w:szCs w:val="24"/>
        </w:rPr>
        <w:t xml:space="preserve">also </w:t>
      </w:r>
      <w:r w:rsidR="008B3888">
        <w:rPr>
          <w:sz w:val="24"/>
          <w:szCs w:val="24"/>
        </w:rPr>
        <w:t xml:space="preserve">to </w:t>
      </w:r>
      <w:r w:rsidRPr="00FC1BF8">
        <w:rPr>
          <w:sz w:val="24"/>
          <w:szCs w:val="24"/>
        </w:rPr>
        <w:t>those claims with a significant</w:t>
      </w:r>
      <w:r w:rsidR="00FC1BF8" w:rsidRPr="00FC1BF8">
        <w:rPr>
          <w:sz w:val="24"/>
          <w:szCs w:val="24"/>
        </w:rPr>
        <w:t xml:space="preserve"> </w:t>
      </w:r>
      <w:r w:rsidRPr="00FC1BF8">
        <w:rPr>
          <w:sz w:val="24"/>
          <w:szCs w:val="24"/>
        </w:rPr>
        <w:t>relationship to the agreements</w:t>
      </w:r>
      <w:r w:rsidR="00BC21C9">
        <w:rPr>
          <w:sz w:val="24"/>
          <w:szCs w:val="24"/>
        </w:rPr>
        <w:t xml:space="preserve"> - </w:t>
      </w:r>
      <w:r w:rsidR="00FC1BF8" w:rsidRPr="00FC1BF8">
        <w:rPr>
          <w:sz w:val="24"/>
          <w:szCs w:val="24"/>
        </w:rPr>
        <w:t>including those with a contractual nexus.</w:t>
      </w:r>
    </w:p>
    <w:p w14:paraId="4D8A1477" w14:textId="453FFCA9" w:rsidR="00FC1BF8" w:rsidRDefault="00FC1BF8" w:rsidP="00E71078">
      <w:pPr>
        <w:pStyle w:val="NoSpacing"/>
        <w:jc w:val="both"/>
        <w:rPr>
          <w:sz w:val="24"/>
          <w:szCs w:val="24"/>
        </w:rPr>
      </w:pPr>
    </w:p>
    <w:p w14:paraId="06A5CC2F" w14:textId="12263671" w:rsidR="004B0968" w:rsidRDefault="004B0968" w:rsidP="004B0968">
      <w:pPr>
        <w:pStyle w:val="NoSpacing"/>
        <w:jc w:val="both"/>
        <w:rPr>
          <w:sz w:val="24"/>
          <w:szCs w:val="24"/>
        </w:rPr>
      </w:pPr>
      <w:r w:rsidRPr="004B0968">
        <w:rPr>
          <w:b/>
          <w:bCs/>
          <w:sz w:val="24"/>
          <w:szCs w:val="24"/>
        </w:rPr>
        <w:t xml:space="preserve">MV </w:t>
      </w:r>
      <w:r w:rsidRPr="004B0968">
        <w:rPr>
          <w:b/>
          <w:bCs/>
          <w:sz w:val="24"/>
          <w:szCs w:val="24"/>
        </w:rPr>
        <w:t>Senior Management</w:t>
      </w:r>
      <w:r w:rsidRPr="004B0968">
        <w:rPr>
          <w:b/>
          <w:bCs/>
          <w:sz w:val="24"/>
          <w:szCs w:val="24"/>
        </w:rPr>
        <w:t>, LLC</w:t>
      </w:r>
      <w:r w:rsidRPr="004B09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v. </w:t>
      </w:r>
      <w:proofErr w:type="spellStart"/>
      <w:r w:rsidRPr="004B0968">
        <w:rPr>
          <w:b/>
          <w:bCs/>
          <w:sz w:val="24"/>
          <w:szCs w:val="24"/>
        </w:rPr>
        <w:t>Redus</w:t>
      </w:r>
      <w:proofErr w:type="spellEnd"/>
      <w:r w:rsidRPr="004B0968">
        <w:rPr>
          <w:b/>
          <w:bCs/>
          <w:sz w:val="24"/>
          <w:szCs w:val="24"/>
        </w:rPr>
        <w:t xml:space="preserve"> Florida Housing</w:t>
      </w:r>
      <w:r w:rsidRPr="004B0968">
        <w:rPr>
          <w:b/>
          <w:bCs/>
          <w:sz w:val="24"/>
          <w:szCs w:val="24"/>
        </w:rPr>
        <w:t>, LLC</w:t>
      </w:r>
      <w:r w:rsidRPr="004B0968">
        <w:rPr>
          <w:sz w:val="24"/>
          <w:szCs w:val="24"/>
        </w:rPr>
        <w:t>,</w:t>
      </w:r>
      <w:r w:rsidRPr="004B0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 w:rsidRPr="004B0968">
        <w:rPr>
          <w:sz w:val="24"/>
          <w:szCs w:val="24"/>
        </w:rPr>
        <w:t>No. 1D20-111</w:t>
      </w:r>
      <w:r>
        <w:rPr>
          <w:sz w:val="24"/>
          <w:szCs w:val="24"/>
        </w:rPr>
        <w:t xml:space="preserve"> (Fla. 1st DCA 2020).</w:t>
      </w:r>
    </w:p>
    <w:p w14:paraId="7FCDFB1F" w14:textId="3669C3BC" w:rsidR="00135E09" w:rsidRDefault="00135E09" w:rsidP="00135E0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Wrongful Act Doctrine basis for awarding attorney’s fees applies </w:t>
      </w:r>
      <w:r w:rsidR="00BC21C9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to litigation </w:t>
      </w:r>
      <w:r w:rsidRPr="00135E09">
        <w:rPr>
          <w:sz w:val="24"/>
          <w:szCs w:val="24"/>
        </w:rPr>
        <w:t>ensuing from a party’s wrongful act against a third party</w:t>
      </w:r>
      <w:r>
        <w:rPr>
          <w:sz w:val="24"/>
          <w:szCs w:val="24"/>
        </w:rPr>
        <w:t>.</w:t>
      </w:r>
    </w:p>
    <w:p w14:paraId="29AFE943" w14:textId="5C94880E" w:rsidR="00135E09" w:rsidRDefault="00135E09" w:rsidP="00135E09">
      <w:pPr>
        <w:pStyle w:val="NoSpacing"/>
        <w:jc w:val="both"/>
        <w:rPr>
          <w:sz w:val="24"/>
          <w:szCs w:val="24"/>
        </w:rPr>
      </w:pPr>
    </w:p>
    <w:p w14:paraId="42CCBAA8" w14:textId="44529C1B" w:rsidR="00FC1BF8" w:rsidRDefault="004F3009" w:rsidP="00135E09">
      <w:pPr>
        <w:pStyle w:val="NoSpacing"/>
        <w:jc w:val="both"/>
        <w:rPr>
          <w:sz w:val="24"/>
          <w:szCs w:val="24"/>
        </w:rPr>
      </w:pPr>
      <w:r w:rsidRPr="004F3009">
        <w:rPr>
          <w:b/>
          <w:bCs/>
          <w:sz w:val="24"/>
          <w:szCs w:val="24"/>
        </w:rPr>
        <w:t xml:space="preserve">Murphy Auto Group, Inc. </w:t>
      </w:r>
      <w:r>
        <w:rPr>
          <w:b/>
          <w:bCs/>
          <w:sz w:val="24"/>
          <w:szCs w:val="24"/>
        </w:rPr>
        <w:t xml:space="preserve">v. </w:t>
      </w:r>
      <w:r w:rsidRPr="004F3009">
        <w:rPr>
          <w:b/>
          <w:bCs/>
          <w:sz w:val="24"/>
          <w:szCs w:val="24"/>
        </w:rPr>
        <w:t>Florida Department</w:t>
      </w:r>
      <w:r>
        <w:rPr>
          <w:b/>
          <w:bCs/>
          <w:sz w:val="24"/>
          <w:szCs w:val="24"/>
        </w:rPr>
        <w:t xml:space="preserve"> of Transportation</w:t>
      </w:r>
      <w:r>
        <w:rPr>
          <w:sz w:val="24"/>
          <w:szCs w:val="24"/>
        </w:rPr>
        <w:t xml:space="preserve">, </w:t>
      </w:r>
      <w:r w:rsidRPr="004F3009">
        <w:rPr>
          <w:sz w:val="24"/>
          <w:szCs w:val="24"/>
        </w:rPr>
        <w:t>Case No. 2D19-1236</w:t>
      </w:r>
      <w:r>
        <w:rPr>
          <w:sz w:val="24"/>
          <w:szCs w:val="24"/>
        </w:rPr>
        <w:t xml:space="preserve"> (Fla. 2d DCA 2020).</w:t>
      </w:r>
    </w:p>
    <w:p w14:paraId="303B8E21" w14:textId="4076353F" w:rsidR="004F3009" w:rsidRDefault="004F3009" w:rsidP="003641E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Requiring </w:t>
      </w:r>
      <w:r w:rsidR="0057671D">
        <w:rPr>
          <w:sz w:val="24"/>
          <w:szCs w:val="24"/>
        </w:rPr>
        <w:t xml:space="preserve">a private landowner to pay for </w:t>
      </w:r>
      <w:r w:rsidR="003641E3">
        <w:rPr>
          <w:sz w:val="24"/>
          <w:szCs w:val="24"/>
        </w:rPr>
        <w:t xml:space="preserve">a </w:t>
      </w:r>
      <w:r w:rsidR="0057671D">
        <w:rPr>
          <w:sz w:val="24"/>
          <w:szCs w:val="24"/>
        </w:rPr>
        <w:t xml:space="preserve">new drainage </w:t>
      </w:r>
      <w:r w:rsidR="003641E3">
        <w:rPr>
          <w:sz w:val="24"/>
          <w:szCs w:val="24"/>
        </w:rPr>
        <w:t xml:space="preserve">system </w:t>
      </w:r>
      <w:r w:rsidR="0057671D">
        <w:rPr>
          <w:sz w:val="24"/>
          <w:szCs w:val="24"/>
        </w:rPr>
        <w:t xml:space="preserve">in order for the landowner to connect to </w:t>
      </w:r>
      <w:r w:rsidR="003641E3">
        <w:rPr>
          <w:sz w:val="24"/>
          <w:szCs w:val="24"/>
        </w:rPr>
        <w:t xml:space="preserve">a roadway </w:t>
      </w:r>
      <w:r w:rsidR="00BC21C9">
        <w:rPr>
          <w:sz w:val="24"/>
          <w:szCs w:val="24"/>
        </w:rPr>
        <w:t xml:space="preserve">owned by the government </w:t>
      </w:r>
      <w:r w:rsidR="003641E3">
        <w:rPr>
          <w:sz w:val="24"/>
          <w:szCs w:val="24"/>
        </w:rPr>
        <w:t xml:space="preserve">is an improper exaction under </w:t>
      </w:r>
      <w:r w:rsidR="003641E3" w:rsidRPr="003641E3">
        <w:rPr>
          <w:i/>
          <w:iCs/>
          <w:sz w:val="24"/>
          <w:szCs w:val="24"/>
        </w:rPr>
        <w:t>K</w:t>
      </w:r>
      <w:r w:rsidR="003641E3" w:rsidRPr="003641E3">
        <w:rPr>
          <w:i/>
          <w:iCs/>
          <w:sz w:val="24"/>
          <w:szCs w:val="24"/>
        </w:rPr>
        <w:t>oontz v. St. Johns River Water Management</w:t>
      </w:r>
      <w:r w:rsidR="003641E3" w:rsidRPr="003641E3">
        <w:rPr>
          <w:i/>
          <w:iCs/>
          <w:sz w:val="24"/>
          <w:szCs w:val="24"/>
        </w:rPr>
        <w:t xml:space="preserve"> </w:t>
      </w:r>
      <w:r w:rsidR="003641E3" w:rsidRPr="003641E3">
        <w:rPr>
          <w:i/>
          <w:iCs/>
          <w:sz w:val="24"/>
          <w:szCs w:val="24"/>
        </w:rPr>
        <w:t>District</w:t>
      </w:r>
      <w:r w:rsidR="003641E3" w:rsidRPr="003641E3">
        <w:rPr>
          <w:sz w:val="24"/>
          <w:szCs w:val="24"/>
        </w:rPr>
        <w:t>, 570 U.S. 595, 605-06 (2013)</w:t>
      </w:r>
      <w:r w:rsidR="003641E3">
        <w:rPr>
          <w:sz w:val="24"/>
          <w:szCs w:val="24"/>
        </w:rPr>
        <w:t>.</w:t>
      </w:r>
    </w:p>
    <w:p w14:paraId="54232658" w14:textId="6382DD80" w:rsidR="003641E3" w:rsidRDefault="003641E3" w:rsidP="003641E3">
      <w:pPr>
        <w:pStyle w:val="NoSpacing"/>
        <w:jc w:val="both"/>
        <w:rPr>
          <w:sz w:val="24"/>
          <w:szCs w:val="24"/>
        </w:rPr>
      </w:pPr>
    </w:p>
    <w:p w14:paraId="19EBCB1C" w14:textId="17355E87" w:rsidR="00A24DC9" w:rsidRDefault="00A24DC9" w:rsidP="00A24DC9">
      <w:pPr>
        <w:pStyle w:val="NoSpacing"/>
        <w:jc w:val="both"/>
        <w:rPr>
          <w:sz w:val="24"/>
          <w:szCs w:val="24"/>
        </w:rPr>
      </w:pPr>
      <w:r w:rsidRPr="00A24DC9">
        <w:rPr>
          <w:b/>
          <w:bCs/>
          <w:sz w:val="24"/>
          <w:szCs w:val="24"/>
        </w:rPr>
        <w:t>BEO Management Corp</w:t>
      </w:r>
      <w:r w:rsidRPr="00A24DC9">
        <w:rPr>
          <w:b/>
          <w:bCs/>
          <w:sz w:val="24"/>
          <w:szCs w:val="24"/>
        </w:rPr>
        <w:t xml:space="preserve"> v. </w:t>
      </w:r>
      <w:r w:rsidRPr="00A24DC9">
        <w:rPr>
          <w:b/>
          <w:bCs/>
          <w:sz w:val="24"/>
          <w:szCs w:val="24"/>
        </w:rPr>
        <w:t>Horta</w:t>
      </w:r>
      <w:r w:rsidRPr="00A24DC9">
        <w:rPr>
          <w:sz w:val="24"/>
          <w:szCs w:val="24"/>
        </w:rPr>
        <w:t>,</w:t>
      </w:r>
      <w:r>
        <w:rPr>
          <w:sz w:val="24"/>
          <w:szCs w:val="24"/>
        </w:rPr>
        <w:t xml:space="preserve"> Case </w:t>
      </w:r>
      <w:r w:rsidRPr="00A24DC9">
        <w:rPr>
          <w:sz w:val="24"/>
          <w:szCs w:val="24"/>
        </w:rPr>
        <w:t>No. 3D19-1989</w:t>
      </w:r>
      <w:r>
        <w:rPr>
          <w:sz w:val="24"/>
          <w:szCs w:val="24"/>
        </w:rPr>
        <w:t xml:space="preserve"> (Fla. 3d DCA 2020).</w:t>
      </w:r>
    </w:p>
    <w:p w14:paraId="757813C4" w14:textId="0DDC44BA" w:rsidR="00A24DC9" w:rsidRDefault="00DF1ABA" w:rsidP="00A24D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defenses of not being a party to the contract, </w:t>
      </w:r>
      <w:r w:rsidR="00BC21C9">
        <w:rPr>
          <w:sz w:val="24"/>
          <w:szCs w:val="24"/>
        </w:rPr>
        <w:t>there being</w:t>
      </w:r>
      <w:r>
        <w:rPr>
          <w:sz w:val="24"/>
          <w:szCs w:val="24"/>
        </w:rPr>
        <w:t xml:space="preserve"> no consideration for the check, and </w:t>
      </w:r>
      <w:r w:rsidR="00EA4C5E">
        <w:rPr>
          <w:sz w:val="24"/>
          <w:szCs w:val="24"/>
        </w:rPr>
        <w:t>there being</w:t>
      </w:r>
      <w:r>
        <w:rPr>
          <w:sz w:val="24"/>
          <w:szCs w:val="24"/>
        </w:rPr>
        <w:t xml:space="preserve"> no intent to defraud do no</w:t>
      </w:r>
      <w:r w:rsidR="00EA4C5E">
        <w:rPr>
          <w:sz w:val="24"/>
          <w:szCs w:val="24"/>
        </w:rPr>
        <w:t>t</w:t>
      </w:r>
      <w:r>
        <w:rPr>
          <w:sz w:val="24"/>
          <w:szCs w:val="24"/>
        </w:rPr>
        <w:t xml:space="preserve"> defeat a</w:t>
      </w:r>
      <w:r w:rsidR="00A24DC9">
        <w:rPr>
          <w:sz w:val="24"/>
          <w:szCs w:val="24"/>
        </w:rPr>
        <w:t xml:space="preserve"> claim for treble damages for a worthless check under Florida Statute section </w:t>
      </w:r>
      <w:r w:rsidR="00A24DC9" w:rsidRPr="00A24DC9">
        <w:rPr>
          <w:sz w:val="24"/>
          <w:szCs w:val="24"/>
        </w:rPr>
        <w:t>68.065(3)(a)</w:t>
      </w:r>
      <w:r>
        <w:rPr>
          <w:sz w:val="24"/>
          <w:szCs w:val="24"/>
        </w:rPr>
        <w:t>.</w:t>
      </w:r>
    </w:p>
    <w:p w14:paraId="4CF26485" w14:textId="77777777" w:rsidR="00263995" w:rsidRDefault="00263995" w:rsidP="00A24DC9">
      <w:pPr>
        <w:pStyle w:val="NoSpacing"/>
        <w:jc w:val="both"/>
        <w:rPr>
          <w:sz w:val="24"/>
          <w:szCs w:val="24"/>
        </w:rPr>
      </w:pPr>
    </w:p>
    <w:p w14:paraId="6198CD67" w14:textId="43C07379" w:rsidR="00263995" w:rsidRDefault="00263995" w:rsidP="00263995">
      <w:pPr>
        <w:pStyle w:val="NoSpacing"/>
        <w:jc w:val="both"/>
        <w:rPr>
          <w:sz w:val="24"/>
          <w:szCs w:val="24"/>
        </w:rPr>
      </w:pPr>
      <w:proofErr w:type="spellStart"/>
      <w:r w:rsidRPr="00263995">
        <w:rPr>
          <w:b/>
          <w:bCs/>
          <w:sz w:val="24"/>
          <w:szCs w:val="24"/>
        </w:rPr>
        <w:t>Piazenko</w:t>
      </w:r>
      <w:proofErr w:type="spellEnd"/>
      <w:r w:rsidRPr="00263995">
        <w:rPr>
          <w:b/>
          <w:bCs/>
          <w:sz w:val="24"/>
          <w:szCs w:val="24"/>
        </w:rPr>
        <w:t xml:space="preserve"> v. </w:t>
      </w:r>
      <w:r w:rsidRPr="00263995">
        <w:rPr>
          <w:b/>
          <w:bCs/>
          <w:sz w:val="24"/>
          <w:szCs w:val="24"/>
        </w:rPr>
        <w:t>Pier Marine Interiors GMBH</w:t>
      </w:r>
      <w:r w:rsidRPr="00263995">
        <w:rPr>
          <w:sz w:val="24"/>
          <w:szCs w:val="24"/>
        </w:rPr>
        <w:t>,</w:t>
      </w:r>
      <w:r w:rsidRPr="00263995">
        <w:rPr>
          <w:sz w:val="24"/>
          <w:szCs w:val="24"/>
        </w:rPr>
        <w:t xml:space="preserve"> Case </w:t>
      </w:r>
      <w:r w:rsidRPr="00263995">
        <w:rPr>
          <w:sz w:val="24"/>
          <w:szCs w:val="24"/>
        </w:rPr>
        <w:t>No. 3D19-2193</w:t>
      </w:r>
      <w:r>
        <w:rPr>
          <w:sz w:val="24"/>
          <w:szCs w:val="24"/>
        </w:rPr>
        <w:t xml:space="preserve"> (Fla. 3d DCA 2020).</w:t>
      </w:r>
    </w:p>
    <w:p w14:paraId="598914DB" w14:textId="4997C525" w:rsidR="00DF1ABA" w:rsidRDefault="00263995" w:rsidP="00F34B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Long-arm jurisdiction </w:t>
      </w:r>
      <w:r w:rsidR="00EA4C5E">
        <w:rPr>
          <w:sz w:val="24"/>
          <w:szCs w:val="24"/>
        </w:rPr>
        <w:t xml:space="preserve">in Florida </w:t>
      </w:r>
      <w:r>
        <w:rPr>
          <w:sz w:val="24"/>
          <w:szCs w:val="24"/>
        </w:rPr>
        <w:t>can be either specific under Florida Statute sect</w:t>
      </w:r>
      <w:r w:rsidR="00B3009C">
        <w:rPr>
          <w:sz w:val="24"/>
          <w:szCs w:val="24"/>
        </w:rPr>
        <w:t xml:space="preserve">ion </w:t>
      </w:r>
      <w:r w:rsidR="00B3009C" w:rsidRPr="00B3009C">
        <w:rPr>
          <w:sz w:val="24"/>
          <w:szCs w:val="24"/>
        </w:rPr>
        <w:t>48.193(1)(a)</w:t>
      </w:r>
      <w:r w:rsidR="00B3009C">
        <w:rPr>
          <w:sz w:val="24"/>
          <w:szCs w:val="24"/>
        </w:rPr>
        <w:t xml:space="preserve"> or general under section </w:t>
      </w:r>
      <w:r w:rsidR="00B3009C" w:rsidRPr="00B3009C">
        <w:rPr>
          <w:sz w:val="24"/>
          <w:szCs w:val="24"/>
        </w:rPr>
        <w:t>48.193(2)</w:t>
      </w:r>
      <w:r w:rsidR="00F34B1A">
        <w:rPr>
          <w:sz w:val="24"/>
          <w:szCs w:val="24"/>
        </w:rPr>
        <w:t xml:space="preserve">, and specific jurisdiction requires “connexity,” i.e., that </w:t>
      </w:r>
      <w:r w:rsidR="00F34B1A" w:rsidRPr="00F34B1A">
        <w:rPr>
          <w:sz w:val="24"/>
          <w:szCs w:val="24"/>
        </w:rPr>
        <w:t>the defendant does one of the enumerated acts within Florida, and</w:t>
      </w:r>
      <w:r w:rsidR="00EA4C5E">
        <w:rPr>
          <w:sz w:val="24"/>
          <w:szCs w:val="24"/>
        </w:rPr>
        <w:t xml:space="preserve"> that </w:t>
      </w:r>
      <w:r w:rsidR="00F34B1A" w:rsidRPr="00F34B1A">
        <w:rPr>
          <w:sz w:val="24"/>
          <w:szCs w:val="24"/>
        </w:rPr>
        <w:t>plaintiff's</w:t>
      </w:r>
      <w:r w:rsidR="00F34B1A">
        <w:rPr>
          <w:sz w:val="24"/>
          <w:szCs w:val="24"/>
        </w:rPr>
        <w:t xml:space="preserve"> c</w:t>
      </w:r>
      <w:r w:rsidR="00F34B1A" w:rsidRPr="00F34B1A">
        <w:rPr>
          <w:sz w:val="24"/>
          <w:szCs w:val="24"/>
        </w:rPr>
        <w:t>ause of action “arise from” one of the enumerated acts occurring</w:t>
      </w:r>
      <w:r w:rsidR="00F34B1A">
        <w:rPr>
          <w:sz w:val="24"/>
          <w:szCs w:val="24"/>
        </w:rPr>
        <w:t xml:space="preserve"> </w:t>
      </w:r>
      <w:r w:rsidR="00F34B1A" w:rsidRPr="00F34B1A">
        <w:rPr>
          <w:sz w:val="24"/>
          <w:szCs w:val="24"/>
        </w:rPr>
        <w:t>in Florida.</w:t>
      </w:r>
    </w:p>
    <w:p w14:paraId="11C3ED46" w14:textId="24725D3D" w:rsidR="00F34B1A" w:rsidRDefault="00F34B1A" w:rsidP="00F34B1A">
      <w:pPr>
        <w:pStyle w:val="NoSpacing"/>
        <w:jc w:val="both"/>
        <w:rPr>
          <w:sz w:val="24"/>
          <w:szCs w:val="24"/>
        </w:rPr>
      </w:pPr>
    </w:p>
    <w:p w14:paraId="2BEE5864" w14:textId="79AC9E7F" w:rsidR="008368F4" w:rsidRDefault="008368F4" w:rsidP="008368F4">
      <w:pPr>
        <w:pStyle w:val="NoSpacing"/>
        <w:jc w:val="both"/>
        <w:rPr>
          <w:sz w:val="24"/>
          <w:szCs w:val="24"/>
        </w:rPr>
      </w:pPr>
      <w:r w:rsidRPr="008368F4">
        <w:rPr>
          <w:b/>
          <w:bCs/>
          <w:sz w:val="24"/>
          <w:szCs w:val="24"/>
        </w:rPr>
        <w:t>MST Corporatio</w:t>
      </w:r>
      <w:r w:rsidRPr="008368F4">
        <w:rPr>
          <w:b/>
          <w:bCs/>
          <w:sz w:val="24"/>
          <w:szCs w:val="24"/>
        </w:rPr>
        <w:t xml:space="preserve">n v. </w:t>
      </w:r>
      <w:r w:rsidRPr="008368F4">
        <w:rPr>
          <w:b/>
          <w:bCs/>
          <w:sz w:val="24"/>
          <w:szCs w:val="24"/>
        </w:rPr>
        <w:t>Caribe Insurance Agency Corporation</w:t>
      </w:r>
      <w:r w:rsidRPr="008368F4">
        <w:rPr>
          <w:sz w:val="24"/>
          <w:szCs w:val="24"/>
        </w:rPr>
        <w:t>,</w:t>
      </w:r>
      <w:r w:rsidRPr="00836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 w:rsidRPr="008368F4">
        <w:rPr>
          <w:sz w:val="24"/>
          <w:szCs w:val="24"/>
        </w:rPr>
        <w:t>No. 3D19-2288</w:t>
      </w:r>
      <w:r>
        <w:rPr>
          <w:sz w:val="24"/>
          <w:szCs w:val="24"/>
        </w:rPr>
        <w:t xml:space="preserve"> (Fla. 3d DCA 2020).</w:t>
      </w:r>
    </w:p>
    <w:p w14:paraId="6E495AD8" w14:textId="6108AFEF" w:rsidR="008368F4" w:rsidRDefault="008368F4" w:rsidP="00C948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junior lienor omitted from a prior foreclosure retains its right of redemption and the redemption amount is the amount of </w:t>
      </w:r>
      <w:r w:rsidR="00C948CE">
        <w:rPr>
          <w:sz w:val="24"/>
          <w:szCs w:val="24"/>
        </w:rPr>
        <w:t xml:space="preserve">the mortgage debt, </w:t>
      </w:r>
      <w:r w:rsidR="00C948CE" w:rsidRPr="00C948CE">
        <w:rPr>
          <w:sz w:val="24"/>
          <w:szCs w:val="24"/>
        </w:rPr>
        <w:t>not</w:t>
      </w:r>
      <w:r w:rsidR="00C948CE">
        <w:rPr>
          <w:sz w:val="24"/>
          <w:szCs w:val="24"/>
        </w:rPr>
        <w:t xml:space="preserve"> </w:t>
      </w:r>
      <w:r w:rsidR="00C948CE" w:rsidRPr="00C948CE">
        <w:rPr>
          <w:sz w:val="24"/>
          <w:szCs w:val="24"/>
        </w:rPr>
        <w:t xml:space="preserve">the judgment of foreclosure, and </w:t>
      </w:r>
      <w:r w:rsidR="00C948CE">
        <w:rPr>
          <w:sz w:val="24"/>
          <w:szCs w:val="24"/>
        </w:rPr>
        <w:t xml:space="preserve">an </w:t>
      </w:r>
      <w:r w:rsidR="00C948CE" w:rsidRPr="00C948CE">
        <w:rPr>
          <w:sz w:val="24"/>
          <w:szCs w:val="24"/>
        </w:rPr>
        <w:t>omitted lienor cannot be compelled to pay</w:t>
      </w:r>
      <w:r w:rsidR="00C948CE">
        <w:rPr>
          <w:sz w:val="24"/>
          <w:szCs w:val="24"/>
        </w:rPr>
        <w:t xml:space="preserve"> </w:t>
      </w:r>
      <w:r w:rsidR="00C948CE" w:rsidRPr="00C948CE">
        <w:rPr>
          <w:sz w:val="24"/>
          <w:szCs w:val="24"/>
        </w:rPr>
        <w:t>the costs or expenses of the foreclosure of the mortgage</w:t>
      </w:r>
      <w:r w:rsidR="00C948CE">
        <w:rPr>
          <w:sz w:val="24"/>
          <w:szCs w:val="24"/>
        </w:rPr>
        <w:t>.</w:t>
      </w:r>
    </w:p>
    <w:p w14:paraId="25524BC0" w14:textId="6130DC1D" w:rsidR="00C948CE" w:rsidRDefault="00C948CE" w:rsidP="00C948CE">
      <w:pPr>
        <w:pStyle w:val="NoSpacing"/>
        <w:jc w:val="both"/>
        <w:rPr>
          <w:sz w:val="24"/>
          <w:szCs w:val="24"/>
        </w:rPr>
      </w:pPr>
    </w:p>
    <w:p w14:paraId="2A793CCC" w14:textId="7FE8D88E" w:rsidR="00C948CE" w:rsidRDefault="00A0723A" w:rsidP="00A0723A">
      <w:pPr>
        <w:pStyle w:val="NoSpacing"/>
        <w:jc w:val="both"/>
        <w:rPr>
          <w:sz w:val="24"/>
          <w:szCs w:val="24"/>
        </w:rPr>
      </w:pPr>
      <w:r w:rsidRPr="00A0723A">
        <w:rPr>
          <w:b/>
          <w:bCs/>
          <w:sz w:val="24"/>
          <w:szCs w:val="24"/>
        </w:rPr>
        <w:t>Triton Stone Holdings</w:t>
      </w:r>
      <w:r w:rsidRPr="00A0723A">
        <w:rPr>
          <w:b/>
          <w:bCs/>
          <w:sz w:val="24"/>
          <w:szCs w:val="24"/>
        </w:rPr>
        <w:t>, L.L.C</w:t>
      </w:r>
      <w:r w:rsidRPr="00A0723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v. </w:t>
      </w:r>
      <w:r w:rsidRPr="00A0723A">
        <w:rPr>
          <w:b/>
          <w:bCs/>
          <w:sz w:val="24"/>
          <w:szCs w:val="24"/>
        </w:rPr>
        <w:t>Magna Business</w:t>
      </w:r>
      <w:r w:rsidRPr="00A0723A">
        <w:rPr>
          <w:b/>
          <w:bCs/>
          <w:sz w:val="24"/>
          <w:szCs w:val="24"/>
        </w:rPr>
        <w:t>, L.L.C.</w:t>
      </w:r>
      <w:r w:rsidRPr="00A072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Case </w:t>
      </w:r>
      <w:r w:rsidRPr="00A0723A">
        <w:rPr>
          <w:sz w:val="24"/>
          <w:szCs w:val="24"/>
        </w:rPr>
        <w:t>No. 4D19-2371</w:t>
      </w:r>
      <w:r>
        <w:rPr>
          <w:sz w:val="24"/>
          <w:szCs w:val="24"/>
        </w:rPr>
        <w:t xml:space="preserve"> (Fla. 4th DCA 2020).</w:t>
      </w:r>
    </w:p>
    <w:p w14:paraId="304E78A6" w14:textId="0B52AF28" w:rsidR="00DF1ABA" w:rsidRPr="00A24DC9" w:rsidRDefault="00A0723A" w:rsidP="00A24D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handwritten agreement detailing the resolution of a limited liability company that does not comport with the previously executed operating agreement for the limited liability company is not effective </w:t>
      </w:r>
      <w:r w:rsidR="00062D22">
        <w:rPr>
          <w:sz w:val="24"/>
          <w:szCs w:val="24"/>
        </w:rPr>
        <w:t>even if partially acted upon.</w:t>
      </w:r>
    </w:p>
    <w:p w14:paraId="2E78680B" w14:textId="05DBB56F" w:rsidR="003641E3" w:rsidRPr="00FC1BF8" w:rsidRDefault="003641E3" w:rsidP="00A24DC9">
      <w:pPr>
        <w:pStyle w:val="NoSpacing"/>
        <w:jc w:val="both"/>
        <w:rPr>
          <w:sz w:val="24"/>
          <w:szCs w:val="24"/>
        </w:rPr>
      </w:pPr>
    </w:p>
    <w:sectPr w:rsidR="003641E3" w:rsidRPr="00FC1B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B1F8" w14:textId="77777777" w:rsidR="001431FB" w:rsidRDefault="001431FB">
      <w:pPr>
        <w:spacing w:after="0" w:line="240" w:lineRule="auto"/>
      </w:pPr>
      <w:r>
        <w:separator/>
      </w:r>
    </w:p>
  </w:endnote>
  <w:endnote w:type="continuationSeparator" w:id="0">
    <w:p w14:paraId="52FE396D" w14:textId="77777777" w:rsidR="001431FB" w:rsidRDefault="0014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F60B" w14:textId="77777777" w:rsidR="00E05A49" w:rsidRDefault="009E2960">
    <w:pPr>
      <w:pStyle w:val="Footer"/>
    </w:pPr>
    <w:r>
      <w:rPr>
        <w:rFonts w:cs="Arial"/>
      </w:rPr>
      <w:t>©</w:t>
    </w:r>
    <w:r>
      <w:t xml:space="preserve"> Manuel Farach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1731" w14:textId="77777777" w:rsidR="001431FB" w:rsidRDefault="001431FB">
      <w:pPr>
        <w:spacing w:after="0" w:line="240" w:lineRule="auto"/>
      </w:pPr>
      <w:r>
        <w:separator/>
      </w:r>
    </w:p>
  </w:footnote>
  <w:footnote w:type="continuationSeparator" w:id="0">
    <w:p w14:paraId="75B91F0F" w14:textId="77777777" w:rsidR="001431FB" w:rsidRDefault="0014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49"/>
    <w:rsid w:val="00002603"/>
    <w:rsid w:val="000149E9"/>
    <w:rsid w:val="000161A3"/>
    <w:rsid w:val="000208C2"/>
    <w:rsid w:val="0002512C"/>
    <w:rsid w:val="0003041F"/>
    <w:rsid w:val="00034BC6"/>
    <w:rsid w:val="00035D89"/>
    <w:rsid w:val="00037EDB"/>
    <w:rsid w:val="00044025"/>
    <w:rsid w:val="00045723"/>
    <w:rsid w:val="00045764"/>
    <w:rsid w:val="00055E74"/>
    <w:rsid w:val="000565D5"/>
    <w:rsid w:val="00062D22"/>
    <w:rsid w:val="00064BDB"/>
    <w:rsid w:val="00064C6D"/>
    <w:rsid w:val="00065956"/>
    <w:rsid w:val="0007101B"/>
    <w:rsid w:val="000737CD"/>
    <w:rsid w:val="00076AB8"/>
    <w:rsid w:val="000932E9"/>
    <w:rsid w:val="000A44D9"/>
    <w:rsid w:val="000A5B4B"/>
    <w:rsid w:val="000A5EEF"/>
    <w:rsid w:val="000A68BE"/>
    <w:rsid w:val="000B4EAA"/>
    <w:rsid w:val="000C3781"/>
    <w:rsid w:val="000C60D6"/>
    <w:rsid w:val="000D3DF0"/>
    <w:rsid w:val="000D5037"/>
    <w:rsid w:val="000D5578"/>
    <w:rsid w:val="000D7016"/>
    <w:rsid w:val="000E11B3"/>
    <w:rsid w:val="000E1E47"/>
    <w:rsid w:val="000E21DE"/>
    <w:rsid w:val="000F1929"/>
    <w:rsid w:val="000F5AB7"/>
    <w:rsid w:val="000F6B6E"/>
    <w:rsid w:val="001002F1"/>
    <w:rsid w:val="00104942"/>
    <w:rsid w:val="001054C2"/>
    <w:rsid w:val="00105B85"/>
    <w:rsid w:val="0010655E"/>
    <w:rsid w:val="0011166F"/>
    <w:rsid w:val="0011447A"/>
    <w:rsid w:val="00132FE8"/>
    <w:rsid w:val="00135DD8"/>
    <w:rsid w:val="00135E09"/>
    <w:rsid w:val="0014078F"/>
    <w:rsid w:val="001431FB"/>
    <w:rsid w:val="001445DC"/>
    <w:rsid w:val="00144BD1"/>
    <w:rsid w:val="00147BF1"/>
    <w:rsid w:val="00155531"/>
    <w:rsid w:val="00157C52"/>
    <w:rsid w:val="0016644D"/>
    <w:rsid w:val="00175B59"/>
    <w:rsid w:val="00176973"/>
    <w:rsid w:val="00176975"/>
    <w:rsid w:val="0018223B"/>
    <w:rsid w:val="00182680"/>
    <w:rsid w:val="00184DE8"/>
    <w:rsid w:val="001911BC"/>
    <w:rsid w:val="00193EBA"/>
    <w:rsid w:val="00194F64"/>
    <w:rsid w:val="00196FA2"/>
    <w:rsid w:val="00197D0F"/>
    <w:rsid w:val="001B2622"/>
    <w:rsid w:val="001B2630"/>
    <w:rsid w:val="001B5A7A"/>
    <w:rsid w:val="001C07C9"/>
    <w:rsid w:val="001C2517"/>
    <w:rsid w:val="001C3287"/>
    <w:rsid w:val="001C5F91"/>
    <w:rsid w:val="001D1C72"/>
    <w:rsid w:val="001D1F97"/>
    <w:rsid w:val="001D51DA"/>
    <w:rsid w:val="001E545B"/>
    <w:rsid w:val="001E7A74"/>
    <w:rsid w:val="001E7FEF"/>
    <w:rsid w:val="001F123A"/>
    <w:rsid w:val="001F7FDC"/>
    <w:rsid w:val="0020078F"/>
    <w:rsid w:val="002047EC"/>
    <w:rsid w:val="00210147"/>
    <w:rsid w:val="00211989"/>
    <w:rsid w:val="00216785"/>
    <w:rsid w:val="00217C5A"/>
    <w:rsid w:val="0023277D"/>
    <w:rsid w:val="0023667F"/>
    <w:rsid w:val="002402A5"/>
    <w:rsid w:val="00241559"/>
    <w:rsid w:val="00244695"/>
    <w:rsid w:val="00251B44"/>
    <w:rsid w:val="002542EA"/>
    <w:rsid w:val="00255304"/>
    <w:rsid w:val="0026039C"/>
    <w:rsid w:val="0026192A"/>
    <w:rsid w:val="00263995"/>
    <w:rsid w:val="002675BD"/>
    <w:rsid w:val="00267D56"/>
    <w:rsid w:val="0027046F"/>
    <w:rsid w:val="002732CD"/>
    <w:rsid w:val="00274985"/>
    <w:rsid w:val="00283D08"/>
    <w:rsid w:val="00283E26"/>
    <w:rsid w:val="00291D94"/>
    <w:rsid w:val="00292CC1"/>
    <w:rsid w:val="002A3397"/>
    <w:rsid w:val="002A732D"/>
    <w:rsid w:val="002B7F7D"/>
    <w:rsid w:val="002C2AE3"/>
    <w:rsid w:val="002C6996"/>
    <w:rsid w:val="002D2C17"/>
    <w:rsid w:val="002D4AAA"/>
    <w:rsid w:val="002D67EF"/>
    <w:rsid w:val="002E51F1"/>
    <w:rsid w:val="002E6C94"/>
    <w:rsid w:val="002F3E87"/>
    <w:rsid w:val="00302C54"/>
    <w:rsid w:val="003035E9"/>
    <w:rsid w:val="00303FDD"/>
    <w:rsid w:val="00305555"/>
    <w:rsid w:val="00310C74"/>
    <w:rsid w:val="00310D89"/>
    <w:rsid w:val="00324BC6"/>
    <w:rsid w:val="003259A3"/>
    <w:rsid w:val="00327D9F"/>
    <w:rsid w:val="00331A8D"/>
    <w:rsid w:val="003453EC"/>
    <w:rsid w:val="00345743"/>
    <w:rsid w:val="00354134"/>
    <w:rsid w:val="0035439A"/>
    <w:rsid w:val="003551E0"/>
    <w:rsid w:val="00356DAE"/>
    <w:rsid w:val="003641E3"/>
    <w:rsid w:val="00367CBE"/>
    <w:rsid w:val="003731CB"/>
    <w:rsid w:val="0037338A"/>
    <w:rsid w:val="00374329"/>
    <w:rsid w:val="00381CF8"/>
    <w:rsid w:val="00384145"/>
    <w:rsid w:val="00385FCD"/>
    <w:rsid w:val="00392215"/>
    <w:rsid w:val="003934B8"/>
    <w:rsid w:val="00394C6D"/>
    <w:rsid w:val="003A0ACE"/>
    <w:rsid w:val="003A4032"/>
    <w:rsid w:val="003A783A"/>
    <w:rsid w:val="003B1540"/>
    <w:rsid w:val="003B6286"/>
    <w:rsid w:val="003B6D28"/>
    <w:rsid w:val="003B7003"/>
    <w:rsid w:val="003C7390"/>
    <w:rsid w:val="003C79BD"/>
    <w:rsid w:val="003C7C29"/>
    <w:rsid w:val="003E1A88"/>
    <w:rsid w:val="003E2FA8"/>
    <w:rsid w:val="003E39B7"/>
    <w:rsid w:val="003E4839"/>
    <w:rsid w:val="003E6685"/>
    <w:rsid w:val="003F3C82"/>
    <w:rsid w:val="00406C1C"/>
    <w:rsid w:val="00407DAF"/>
    <w:rsid w:val="004126C1"/>
    <w:rsid w:val="004177C3"/>
    <w:rsid w:val="0042061E"/>
    <w:rsid w:val="004238CA"/>
    <w:rsid w:val="00425EB1"/>
    <w:rsid w:val="00426BA4"/>
    <w:rsid w:val="00431ED0"/>
    <w:rsid w:val="0043672D"/>
    <w:rsid w:val="00441D05"/>
    <w:rsid w:val="00453BC4"/>
    <w:rsid w:val="00453D88"/>
    <w:rsid w:val="0046074D"/>
    <w:rsid w:val="00465F31"/>
    <w:rsid w:val="0046703B"/>
    <w:rsid w:val="00476717"/>
    <w:rsid w:val="00476F1B"/>
    <w:rsid w:val="00477DE9"/>
    <w:rsid w:val="00484C1C"/>
    <w:rsid w:val="00490186"/>
    <w:rsid w:val="004977F1"/>
    <w:rsid w:val="00497A18"/>
    <w:rsid w:val="004A422B"/>
    <w:rsid w:val="004A4344"/>
    <w:rsid w:val="004B0968"/>
    <w:rsid w:val="004B5BB6"/>
    <w:rsid w:val="004B5C6C"/>
    <w:rsid w:val="004C141B"/>
    <w:rsid w:val="004C1722"/>
    <w:rsid w:val="004D238E"/>
    <w:rsid w:val="004D30A8"/>
    <w:rsid w:val="004D3D3D"/>
    <w:rsid w:val="004D7E05"/>
    <w:rsid w:val="004E5409"/>
    <w:rsid w:val="004E5DCA"/>
    <w:rsid w:val="004E6720"/>
    <w:rsid w:val="004E6E18"/>
    <w:rsid w:val="004F2831"/>
    <w:rsid w:val="004F3009"/>
    <w:rsid w:val="004F747B"/>
    <w:rsid w:val="0051083D"/>
    <w:rsid w:val="00515036"/>
    <w:rsid w:val="00516391"/>
    <w:rsid w:val="00517601"/>
    <w:rsid w:val="0053505B"/>
    <w:rsid w:val="00540D2C"/>
    <w:rsid w:val="005466E9"/>
    <w:rsid w:val="005505AA"/>
    <w:rsid w:val="00550F81"/>
    <w:rsid w:val="00551889"/>
    <w:rsid w:val="00552CD7"/>
    <w:rsid w:val="00555CB3"/>
    <w:rsid w:val="005600F1"/>
    <w:rsid w:val="005621A3"/>
    <w:rsid w:val="00566C6B"/>
    <w:rsid w:val="00570DDD"/>
    <w:rsid w:val="00571804"/>
    <w:rsid w:val="005722E8"/>
    <w:rsid w:val="00572AAA"/>
    <w:rsid w:val="00574D84"/>
    <w:rsid w:val="00575D06"/>
    <w:rsid w:val="0057671D"/>
    <w:rsid w:val="00576F7D"/>
    <w:rsid w:val="005807EF"/>
    <w:rsid w:val="0058251E"/>
    <w:rsid w:val="00586F53"/>
    <w:rsid w:val="00586FB4"/>
    <w:rsid w:val="00591FC8"/>
    <w:rsid w:val="00597611"/>
    <w:rsid w:val="005A6A33"/>
    <w:rsid w:val="005B39CD"/>
    <w:rsid w:val="005C06F0"/>
    <w:rsid w:val="005C33D9"/>
    <w:rsid w:val="005D125B"/>
    <w:rsid w:val="005D13F0"/>
    <w:rsid w:val="005D1DA5"/>
    <w:rsid w:val="005D3CDD"/>
    <w:rsid w:val="005E46F1"/>
    <w:rsid w:val="005E607F"/>
    <w:rsid w:val="005F2C0E"/>
    <w:rsid w:val="005F2CB3"/>
    <w:rsid w:val="00600760"/>
    <w:rsid w:val="006025B5"/>
    <w:rsid w:val="0060410C"/>
    <w:rsid w:val="006047CB"/>
    <w:rsid w:val="00604CC0"/>
    <w:rsid w:val="00605D08"/>
    <w:rsid w:val="006065B9"/>
    <w:rsid w:val="006110D7"/>
    <w:rsid w:val="006203E6"/>
    <w:rsid w:val="006220EC"/>
    <w:rsid w:val="00623D60"/>
    <w:rsid w:val="00631922"/>
    <w:rsid w:val="00635601"/>
    <w:rsid w:val="00636B76"/>
    <w:rsid w:val="00644A7F"/>
    <w:rsid w:val="0064767E"/>
    <w:rsid w:val="00647811"/>
    <w:rsid w:val="006504BD"/>
    <w:rsid w:val="00653FEA"/>
    <w:rsid w:val="00656547"/>
    <w:rsid w:val="0067148D"/>
    <w:rsid w:val="00673712"/>
    <w:rsid w:val="006765B0"/>
    <w:rsid w:val="00677264"/>
    <w:rsid w:val="00680335"/>
    <w:rsid w:val="006855A0"/>
    <w:rsid w:val="00687D3F"/>
    <w:rsid w:val="0069222A"/>
    <w:rsid w:val="006925C1"/>
    <w:rsid w:val="00692E53"/>
    <w:rsid w:val="00693570"/>
    <w:rsid w:val="00693801"/>
    <w:rsid w:val="006970AD"/>
    <w:rsid w:val="0069763C"/>
    <w:rsid w:val="006A0C26"/>
    <w:rsid w:val="006B3609"/>
    <w:rsid w:val="006B59AB"/>
    <w:rsid w:val="006B5B68"/>
    <w:rsid w:val="006E1CA0"/>
    <w:rsid w:val="006E5D65"/>
    <w:rsid w:val="006F1624"/>
    <w:rsid w:val="00702F81"/>
    <w:rsid w:val="00705C37"/>
    <w:rsid w:val="00713BB3"/>
    <w:rsid w:val="007151B2"/>
    <w:rsid w:val="0071697D"/>
    <w:rsid w:val="00720CA8"/>
    <w:rsid w:val="00721049"/>
    <w:rsid w:val="00722290"/>
    <w:rsid w:val="00722A27"/>
    <w:rsid w:val="0072430A"/>
    <w:rsid w:val="007269A7"/>
    <w:rsid w:val="0073016D"/>
    <w:rsid w:val="007330C0"/>
    <w:rsid w:val="00735AAB"/>
    <w:rsid w:val="00742746"/>
    <w:rsid w:val="00742855"/>
    <w:rsid w:val="00742CF5"/>
    <w:rsid w:val="0074429C"/>
    <w:rsid w:val="0074500B"/>
    <w:rsid w:val="00746B53"/>
    <w:rsid w:val="00751392"/>
    <w:rsid w:val="00751434"/>
    <w:rsid w:val="00751493"/>
    <w:rsid w:val="00751A1F"/>
    <w:rsid w:val="0075395E"/>
    <w:rsid w:val="00755F26"/>
    <w:rsid w:val="007604CE"/>
    <w:rsid w:val="00761144"/>
    <w:rsid w:val="00766CDD"/>
    <w:rsid w:val="00772D63"/>
    <w:rsid w:val="00774A18"/>
    <w:rsid w:val="00774DA8"/>
    <w:rsid w:val="0077564C"/>
    <w:rsid w:val="00783D32"/>
    <w:rsid w:val="00783E1C"/>
    <w:rsid w:val="0079128F"/>
    <w:rsid w:val="007A0D48"/>
    <w:rsid w:val="007B09C0"/>
    <w:rsid w:val="007B5162"/>
    <w:rsid w:val="007C4614"/>
    <w:rsid w:val="007C541D"/>
    <w:rsid w:val="007D23F2"/>
    <w:rsid w:val="007D4FE9"/>
    <w:rsid w:val="007E05A4"/>
    <w:rsid w:val="007E2649"/>
    <w:rsid w:val="007E3010"/>
    <w:rsid w:val="007E7E21"/>
    <w:rsid w:val="007F1293"/>
    <w:rsid w:val="007F295A"/>
    <w:rsid w:val="007F6C51"/>
    <w:rsid w:val="007F71D9"/>
    <w:rsid w:val="007F77C9"/>
    <w:rsid w:val="00811311"/>
    <w:rsid w:val="008116F9"/>
    <w:rsid w:val="00830183"/>
    <w:rsid w:val="00834472"/>
    <w:rsid w:val="008368F4"/>
    <w:rsid w:val="00840C0E"/>
    <w:rsid w:val="0084240F"/>
    <w:rsid w:val="00844E36"/>
    <w:rsid w:val="00847C28"/>
    <w:rsid w:val="00851270"/>
    <w:rsid w:val="00851A5B"/>
    <w:rsid w:val="00851ECC"/>
    <w:rsid w:val="008520BD"/>
    <w:rsid w:val="00857DEF"/>
    <w:rsid w:val="00866B0E"/>
    <w:rsid w:val="00866F34"/>
    <w:rsid w:val="0086777A"/>
    <w:rsid w:val="008723A5"/>
    <w:rsid w:val="008744F3"/>
    <w:rsid w:val="008854BD"/>
    <w:rsid w:val="00885CC0"/>
    <w:rsid w:val="00890E0D"/>
    <w:rsid w:val="00890E59"/>
    <w:rsid w:val="00894C3B"/>
    <w:rsid w:val="008A4AC6"/>
    <w:rsid w:val="008B0091"/>
    <w:rsid w:val="008B3888"/>
    <w:rsid w:val="008B5B69"/>
    <w:rsid w:val="008B75D7"/>
    <w:rsid w:val="008C4D1A"/>
    <w:rsid w:val="008E303B"/>
    <w:rsid w:val="008E4957"/>
    <w:rsid w:val="008F5DE7"/>
    <w:rsid w:val="008F6835"/>
    <w:rsid w:val="008F68C6"/>
    <w:rsid w:val="00901177"/>
    <w:rsid w:val="009016A8"/>
    <w:rsid w:val="00906515"/>
    <w:rsid w:val="00906B39"/>
    <w:rsid w:val="00906DAE"/>
    <w:rsid w:val="00907B6A"/>
    <w:rsid w:val="0091062A"/>
    <w:rsid w:val="0091429B"/>
    <w:rsid w:val="009175AC"/>
    <w:rsid w:val="00917931"/>
    <w:rsid w:val="00920C4B"/>
    <w:rsid w:val="00932385"/>
    <w:rsid w:val="00945ACF"/>
    <w:rsid w:val="00953584"/>
    <w:rsid w:val="00955F4D"/>
    <w:rsid w:val="00957682"/>
    <w:rsid w:val="00970E7C"/>
    <w:rsid w:val="00973104"/>
    <w:rsid w:val="0097690B"/>
    <w:rsid w:val="00977807"/>
    <w:rsid w:val="00987302"/>
    <w:rsid w:val="0099056D"/>
    <w:rsid w:val="0099155D"/>
    <w:rsid w:val="009A001D"/>
    <w:rsid w:val="009A0028"/>
    <w:rsid w:val="009A02A6"/>
    <w:rsid w:val="009A1BDE"/>
    <w:rsid w:val="009A416D"/>
    <w:rsid w:val="009A4D7A"/>
    <w:rsid w:val="009B14BB"/>
    <w:rsid w:val="009B6469"/>
    <w:rsid w:val="009C1355"/>
    <w:rsid w:val="009C54EF"/>
    <w:rsid w:val="009C700D"/>
    <w:rsid w:val="009D4389"/>
    <w:rsid w:val="009D5A8D"/>
    <w:rsid w:val="009D79A0"/>
    <w:rsid w:val="009E15C0"/>
    <w:rsid w:val="009E2960"/>
    <w:rsid w:val="009E2B47"/>
    <w:rsid w:val="009E351A"/>
    <w:rsid w:val="009F0E69"/>
    <w:rsid w:val="009F4946"/>
    <w:rsid w:val="009F61F0"/>
    <w:rsid w:val="00A003A9"/>
    <w:rsid w:val="00A0723A"/>
    <w:rsid w:val="00A073C2"/>
    <w:rsid w:val="00A106AC"/>
    <w:rsid w:val="00A24DC9"/>
    <w:rsid w:val="00A26770"/>
    <w:rsid w:val="00A31139"/>
    <w:rsid w:val="00A43746"/>
    <w:rsid w:val="00A46447"/>
    <w:rsid w:val="00A4779D"/>
    <w:rsid w:val="00A4782C"/>
    <w:rsid w:val="00A51746"/>
    <w:rsid w:val="00A555CA"/>
    <w:rsid w:val="00A56C36"/>
    <w:rsid w:val="00A572B8"/>
    <w:rsid w:val="00A616CF"/>
    <w:rsid w:val="00A6343D"/>
    <w:rsid w:val="00A63EFA"/>
    <w:rsid w:val="00A64FB3"/>
    <w:rsid w:val="00A702EA"/>
    <w:rsid w:val="00A71208"/>
    <w:rsid w:val="00A72854"/>
    <w:rsid w:val="00A746E7"/>
    <w:rsid w:val="00A77D1B"/>
    <w:rsid w:val="00A81014"/>
    <w:rsid w:val="00A83090"/>
    <w:rsid w:val="00A83AB1"/>
    <w:rsid w:val="00A85D98"/>
    <w:rsid w:val="00A977C2"/>
    <w:rsid w:val="00AB130A"/>
    <w:rsid w:val="00AB21CE"/>
    <w:rsid w:val="00AB2246"/>
    <w:rsid w:val="00AB232C"/>
    <w:rsid w:val="00AB24FB"/>
    <w:rsid w:val="00AB3ED3"/>
    <w:rsid w:val="00AB6B93"/>
    <w:rsid w:val="00AC0122"/>
    <w:rsid w:val="00AC2B1B"/>
    <w:rsid w:val="00AD1DB7"/>
    <w:rsid w:val="00AD52A5"/>
    <w:rsid w:val="00AD5687"/>
    <w:rsid w:val="00AE68B7"/>
    <w:rsid w:val="00AE7D3A"/>
    <w:rsid w:val="00AF3B32"/>
    <w:rsid w:val="00B03123"/>
    <w:rsid w:val="00B05060"/>
    <w:rsid w:val="00B0747F"/>
    <w:rsid w:val="00B11035"/>
    <w:rsid w:val="00B1321A"/>
    <w:rsid w:val="00B2038E"/>
    <w:rsid w:val="00B22967"/>
    <w:rsid w:val="00B23539"/>
    <w:rsid w:val="00B3009C"/>
    <w:rsid w:val="00B3231A"/>
    <w:rsid w:val="00B34AC9"/>
    <w:rsid w:val="00B355E7"/>
    <w:rsid w:val="00B36AC1"/>
    <w:rsid w:val="00B400AB"/>
    <w:rsid w:val="00B43073"/>
    <w:rsid w:val="00B51586"/>
    <w:rsid w:val="00B55407"/>
    <w:rsid w:val="00B6501F"/>
    <w:rsid w:val="00B70251"/>
    <w:rsid w:val="00B70551"/>
    <w:rsid w:val="00B75771"/>
    <w:rsid w:val="00B7581F"/>
    <w:rsid w:val="00B80B75"/>
    <w:rsid w:val="00B81EA6"/>
    <w:rsid w:val="00B867F7"/>
    <w:rsid w:val="00B9402B"/>
    <w:rsid w:val="00BA2526"/>
    <w:rsid w:val="00BA38A2"/>
    <w:rsid w:val="00BA4447"/>
    <w:rsid w:val="00BA4462"/>
    <w:rsid w:val="00BC21C9"/>
    <w:rsid w:val="00BC48AC"/>
    <w:rsid w:val="00BD11A7"/>
    <w:rsid w:val="00BD614C"/>
    <w:rsid w:val="00BD79D8"/>
    <w:rsid w:val="00BE0032"/>
    <w:rsid w:val="00BE1FFD"/>
    <w:rsid w:val="00BE2FA9"/>
    <w:rsid w:val="00BE5248"/>
    <w:rsid w:val="00BE5A6F"/>
    <w:rsid w:val="00BF0D37"/>
    <w:rsid w:val="00BF174F"/>
    <w:rsid w:val="00BF3E82"/>
    <w:rsid w:val="00BF7642"/>
    <w:rsid w:val="00BF7CD2"/>
    <w:rsid w:val="00C0392A"/>
    <w:rsid w:val="00C12631"/>
    <w:rsid w:val="00C14008"/>
    <w:rsid w:val="00C23022"/>
    <w:rsid w:val="00C24894"/>
    <w:rsid w:val="00C26C14"/>
    <w:rsid w:val="00C3106B"/>
    <w:rsid w:val="00C31125"/>
    <w:rsid w:val="00C37FAF"/>
    <w:rsid w:val="00C40D73"/>
    <w:rsid w:val="00C4121F"/>
    <w:rsid w:val="00C44F40"/>
    <w:rsid w:val="00C47966"/>
    <w:rsid w:val="00C506B0"/>
    <w:rsid w:val="00C55753"/>
    <w:rsid w:val="00C55D35"/>
    <w:rsid w:val="00C600D9"/>
    <w:rsid w:val="00C6178D"/>
    <w:rsid w:val="00C63817"/>
    <w:rsid w:val="00C73DB1"/>
    <w:rsid w:val="00C76447"/>
    <w:rsid w:val="00C81123"/>
    <w:rsid w:val="00C829CD"/>
    <w:rsid w:val="00C85802"/>
    <w:rsid w:val="00C8792F"/>
    <w:rsid w:val="00C91132"/>
    <w:rsid w:val="00C91809"/>
    <w:rsid w:val="00C91C20"/>
    <w:rsid w:val="00C94709"/>
    <w:rsid w:val="00C948CE"/>
    <w:rsid w:val="00C9592D"/>
    <w:rsid w:val="00CA0D11"/>
    <w:rsid w:val="00CA4A74"/>
    <w:rsid w:val="00CA6AAD"/>
    <w:rsid w:val="00CA7434"/>
    <w:rsid w:val="00CB75DE"/>
    <w:rsid w:val="00CC52BA"/>
    <w:rsid w:val="00CD18E0"/>
    <w:rsid w:val="00CD27BB"/>
    <w:rsid w:val="00CD2B5D"/>
    <w:rsid w:val="00CD5337"/>
    <w:rsid w:val="00CD64DC"/>
    <w:rsid w:val="00CD6B28"/>
    <w:rsid w:val="00CD787F"/>
    <w:rsid w:val="00CE2FC7"/>
    <w:rsid w:val="00CE6151"/>
    <w:rsid w:val="00CF0287"/>
    <w:rsid w:val="00CF03F5"/>
    <w:rsid w:val="00CF0B01"/>
    <w:rsid w:val="00CF346D"/>
    <w:rsid w:val="00CF3BEC"/>
    <w:rsid w:val="00CF4D0A"/>
    <w:rsid w:val="00CF6113"/>
    <w:rsid w:val="00CF758A"/>
    <w:rsid w:val="00CF7A82"/>
    <w:rsid w:val="00D01BBE"/>
    <w:rsid w:val="00D04331"/>
    <w:rsid w:val="00D05583"/>
    <w:rsid w:val="00D07731"/>
    <w:rsid w:val="00D2058C"/>
    <w:rsid w:val="00D2639A"/>
    <w:rsid w:val="00D31911"/>
    <w:rsid w:val="00D3346D"/>
    <w:rsid w:val="00D42B87"/>
    <w:rsid w:val="00D46259"/>
    <w:rsid w:val="00D46C5F"/>
    <w:rsid w:val="00D51DDE"/>
    <w:rsid w:val="00D549B0"/>
    <w:rsid w:val="00D6040C"/>
    <w:rsid w:val="00D6244C"/>
    <w:rsid w:val="00D66D28"/>
    <w:rsid w:val="00D67356"/>
    <w:rsid w:val="00D73779"/>
    <w:rsid w:val="00D86C2F"/>
    <w:rsid w:val="00D8794A"/>
    <w:rsid w:val="00D9300E"/>
    <w:rsid w:val="00D94F61"/>
    <w:rsid w:val="00D95140"/>
    <w:rsid w:val="00D976E3"/>
    <w:rsid w:val="00DA68EE"/>
    <w:rsid w:val="00DB1D16"/>
    <w:rsid w:val="00DB361D"/>
    <w:rsid w:val="00DC1340"/>
    <w:rsid w:val="00DC6E02"/>
    <w:rsid w:val="00DC7352"/>
    <w:rsid w:val="00DD5791"/>
    <w:rsid w:val="00DD6A7D"/>
    <w:rsid w:val="00DD6BBA"/>
    <w:rsid w:val="00DE1332"/>
    <w:rsid w:val="00DE56A3"/>
    <w:rsid w:val="00DF1ABA"/>
    <w:rsid w:val="00DF280D"/>
    <w:rsid w:val="00DF55D7"/>
    <w:rsid w:val="00E044C9"/>
    <w:rsid w:val="00E05A49"/>
    <w:rsid w:val="00E06A31"/>
    <w:rsid w:val="00E12EFC"/>
    <w:rsid w:val="00E136C8"/>
    <w:rsid w:val="00E1733F"/>
    <w:rsid w:val="00E25977"/>
    <w:rsid w:val="00E315AD"/>
    <w:rsid w:val="00E3792C"/>
    <w:rsid w:val="00E42D90"/>
    <w:rsid w:val="00E4490D"/>
    <w:rsid w:val="00E46C20"/>
    <w:rsid w:val="00E50788"/>
    <w:rsid w:val="00E52420"/>
    <w:rsid w:val="00E52CD8"/>
    <w:rsid w:val="00E5771C"/>
    <w:rsid w:val="00E6615B"/>
    <w:rsid w:val="00E671F6"/>
    <w:rsid w:val="00E702FB"/>
    <w:rsid w:val="00E71078"/>
    <w:rsid w:val="00E73516"/>
    <w:rsid w:val="00E7397A"/>
    <w:rsid w:val="00E74F34"/>
    <w:rsid w:val="00E87657"/>
    <w:rsid w:val="00E95750"/>
    <w:rsid w:val="00E9686B"/>
    <w:rsid w:val="00EA3553"/>
    <w:rsid w:val="00EA4ACF"/>
    <w:rsid w:val="00EA4C54"/>
    <w:rsid w:val="00EA4C5E"/>
    <w:rsid w:val="00EA7CF7"/>
    <w:rsid w:val="00EB3E53"/>
    <w:rsid w:val="00EB56FC"/>
    <w:rsid w:val="00EC0215"/>
    <w:rsid w:val="00ED1306"/>
    <w:rsid w:val="00ED3C99"/>
    <w:rsid w:val="00ED43F7"/>
    <w:rsid w:val="00EE1D87"/>
    <w:rsid w:val="00EE2746"/>
    <w:rsid w:val="00EE7570"/>
    <w:rsid w:val="00EF0BF0"/>
    <w:rsid w:val="00F00421"/>
    <w:rsid w:val="00F01BCF"/>
    <w:rsid w:val="00F05623"/>
    <w:rsid w:val="00F106D7"/>
    <w:rsid w:val="00F21306"/>
    <w:rsid w:val="00F21EC2"/>
    <w:rsid w:val="00F23CF2"/>
    <w:rsid w:val="00F34B1A"/>
    <w:rsid w:val="00F41D5D"/>
    <w:rsid w:val="00F55D39"/>
    <w:rsid w:val="00F57625"/>
    <w:rsid w:val="00F62036"/>
    <w:rsid w:val="00F6398B"/>
    <w:rsid w:val="00F63E99"/>
    <w:rsid w:val="00F644E7"/>
    <w:rsid w:val="00F72AB3"/>
    <w:rsid w:val="00F745B2"/>
    <w:rsid w:val="00F75E5E"/>
    <w:rsid w:val="00F80751"/>
    <w:rsid w:val="00F808C3"/>
    <w:rsid w:val="00F84A0F"/>
    <w:rsid w:val="00F87C60"/>
    <w:rsid w:val="00F87E8D"/>
    <w:rsid w:val="00F90DAF"/>
    <w:rsid w:val="00FA477C"/>
    <w:rsid w:val="00FB0EF4"/>
    <w:rsid w:val="00FB647A"/>
    <w:rsid w:val="00FC1698"/>
    <w:rsid w:val="00FC1BF8"/>
    <w:rsid w:val="00FC3C0E"/>
    <w:rsid w:val="00FD10CC"/>
    <w:rsid w:val="00FD1636"/>
    <w:rsid w:val="00FD66D5"/>
    <w:rsid w:val="00FE4A02"/>
    <w:rsid w:val="00FE772F"/>
    <w:rsid w:val="00FE7BBA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632"/>
  <w15:chartTrackingRefBased/>
  <w15:docId w15:val="{4BEE9111-128A-4B91-880E-3D48A65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6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8AF1-48C9-4C39-939D-892728C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Farach</dc:creator>
  <cp:keywords/>
  <dc:description/>
  <cp:lastModifiedBy>Manuel Farach</cp:lastModifiedBy>
  <cp:revision>5</cp:revision>
  <cp:lastPrinted>2020-09-28T20:14:00Z</cp:lastPrinted>
  <dcterms:created xsi:type="dcterms:W3CDTF">2020-11-27T19:23:00Z</dcterms:created>
  <dcterms:modified xsi:type="dcterms:W3CDTF">2020-11-28T15:51:00Z</dcterms:modified>
</cp:coreProperties>
</file>