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4E36" w14:textId="77D67734" w:rsidR="00E05A49" w:rsidRDefault="005722E8" w:rsidP="005722E8">
      <w:pPr>
        <w:pStyle w:val="NoSpacing"/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bookmarkStart w:id="0" w:name="_Hlk30240186"/>
      <w:bookmarkStart w:id="1" w:name="_Hlk40086421"/>
      <w:bookmarkStart w:id="2" w:name="_Hlk41132724"/>
      <w:r>
        <w:rPr>
          <w:b/>
          <w:bCs/>
          <w:sz w:val="24"/>
          <w:szCs w:val="24"/>
        </w:rPr>
        <w:tab/>
      </w:r>
      <w:r w:rsidR="009E2960">
        <w:rPr>
          <w:b/>
          <w:bCs/>
          <w:sz w:val="24"/>
          <w:szCs w:val="24"/>
        </w:rPr>
        <w:t>Florida Real Property and Business Litigation Report</w:t>
      </w:r>
      <w:r>
        <w:rPr>
          <w:b/>
          <w:bCs/>
          <w:sz w:val="24"/>
          <w:szCs w:val="24"/>
        </w:rPr>
        <w:tab/>
      </w:r>
    </w:p>
    <w:p w14:paraId="39CF9C4A" w14:textId="16109DD0" w:rsidR="00E12EFC" w:rsidRDefault="009E2960" w:rsidP="00A746E7">
      <w:pPr>
        <w:pStyle w:val="NoSpacing"/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Volume XIII, Issue </w:t>
      </w:r>
      <w:r w:rsidR="00932385">
        <w:rPr>
          <w:b/>
          <w:bCs/>
          <w:sz w:val="24"/>
          <w:szCs w:val="24"/>
        </w:rPr>
        <w:t>4</w:t>
      </w:r>
      <w:r w:rsidR="00C10F2A">
        <w:rPr>
          <w:b/>
          <w:bCs/>
          <w:sz w:val="24"/>
          <w:szCs w:val="24"/>
        </w:rPr>
        <w:t>8</w:t>
      </w:r>
    </w:p>
    <w:p w14:paraId="24E571DA" w14:textId="36E17B3F" w:rsidR="00E05A49" w:rsidRDefault="006A0C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324BC6">
        <w:rPr>
          <w:b/>
          <w:bCs/>
          <w:sz w:val="24"/>
          <w:szCs w:val="24"/>
        </w:rPr>
        <w:t>2</w:t>
      </w:r>
      <w:r w:rsidR="00C10F2A">
        <w:rPr>
          <w:b/>
          <w:bCs/>
          <w:sz w:val="24"/>
          <w:szCs w:val="24"/>
        </w:rPr>
        <w:t>8</w:t>
      </w:r>
      <w:r w:rsidR="009E2960">
        <w:rPr>
          <w:b/>
          <w:bCs/>
          <w:sz w:val="24"/>
          <w:szCs w:val="24"/>
        </w:rPr>
        <w:t>, 2020</w:t>
      </w:r>
    </w:p>
    <w:p w14:paraId="23DC9026" w14:textId="259AB31F" w:rsidR="000208C2" w:rsidRDefault="009E2960" w:rsidP="000208C2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Manuel Farach</w:t>
      </w:r>
    </w:p>
    <w:p w14:paraId="3AD680DB" w14:textId="6289359E" w:rsidR="000208C2" w:rsidRDefault="000208C2" w:rsidP="000208C2">
      <w:pPr>
        <w:pStyle w:val="NoSpacing"/>
        <w:jc w:val="center"/>
        <w:rPr>
          <w:sz w:val="24"/>
          <w:szCs w:val="24"/>
        </w:rPr>
      </w:pPr>
    </w:p>
    <w:p w14:paraId="79343A56" w14:textId="1FE8AE46" w:rsidR="007238F8" w:rsidRDefault="007238F8" w:rsidP="007238F8">
      <w:pPr>
        <w:pStyle w:val="NoSpacing"/>
        <w:jc w:val="both"/>
        <w:rPr>
          <w:sz w:val="24"/>
          <w:szCs w:val="24"/>
        </w:rPr>
      </w:pPr>
      <w:r w:rsidRPr="00856438">
        <w:rPr>
          <w:b/>
          <w:bCs/>
          <w:sz w:val="24"/>
          <w:szCs w:val="24"/>
        </w:rPr>
        <w:t>Pension Benefit Guaranty Corporation v. 50509 Marine LLC</w:t>
      </w:r>
      <w:r w:rsidRPr="007238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7238F8">
        <w:rPr>
          <w:sz w:val="24"/>
          <w:szCs w:val="24"/>
        </w:rPr>
        <w:t>No. 19-14968</w:t>
      </w:r>
      <w:r>
        <w:rPr>
          <w:sz w:val="24"/>
          <w:szCs w:val="24"/>
        </w:rPr>
        <w:t xml:space="preserve"> (</w:t>
      </w:r>
      <w:r w:rsidR="0053628B">
        <w:rPr>
          <w:sz w:val="24"/>
          <w:szCs w:val="24"/>
        </w:rPr>
        <w:t>11th Cir. 2020).</w:t>
      </w:r>
    </w:p>
    <w:p w14:paraId="237CEEB3" w14:textId="7A03C563" w:rsidR="00856438" w:rsidRDefault="0053628B" w:rsidP="007238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Notwithstanding its bankruptcy</w:t>
      </w:r>
      <w:r w:rsidR="00856438">
        <w:rPr>
          <w:sz w:val="24"/>
          <w:szCs w:val="24"/>
        </w:rPr>
        <w:t xml:space="preserve"> and its dissolution under state law, </w:t>
      </w:r>
      <w:r w:rsidR="007238F8" w:rsidRPr="007238F8">
        <w:rPr>
          <w:sz w:val="24"/>
          <w:szCs w:val="24"/>
        </w:rPr>
        <w:t xml:space="preserve">the sponsor of an ERISA </w:t>
      </w:r>
      <w:r w:rsidR="00E21765">
        <w:rPr>
          <w:sz w:val="24"/>
          <w:szCs w:val="24"/>
        </w:rPr>
        <w:t xml:space="preserve">plan </w:t>
      </w:r>
      <w:r w:rsidR="00856438">
        <w:rPr>
          <w:sz w:val="24"/>
          <w:szCs w:val="24"/>
        </w:rPr>
        <w:t xml:space="preserve">that </w:t>
      </w:r>
      <w:r w:rsidR="007238F8" w:rsidRPr="007238F8">
        <w:rPr>
          <w:sz w:val="24"/>
          <w:szCs w:val="24"/>
        </w:rPr>
        <w:t xml:space="preserve">continues to authorize payments to beneficiaries and </w:t>
      </w:r>
      <w:r w:rsidR="00E21765">
        <w:rPr>
          <w:sz w:val="24"/>
          <w:szCs w:val="24"/>
        </w:rPr>
        <w:t xml:space="preserve">that </w:t>
      </w:r>
      <w:r w:rsidR="007238F8" w:rsidRPr="007238F8">
        <w:rPr>
          <w:sz w:val="24"/>
          <w:szCs w:val="24"/>
        </w:rPr>
        <w:t>is not supplanted as the plan’s</w:t>
      </w:r>
      <w:r w:rsidR="00856438">
        <w:rPr>
          <w:sz w:val="24"/>
          <w:szCs w:val="24"/>
        </w:rPr>
        <w:t xml:space="preserve"> </w:t>
      </w:r>
      <w:r w:rsidR="007238F8" w:rsidRPr="007238F8">
        <w:rPr>
          <w:sz w:val="24"/>
          <w:szCs w:val="24"/>
        </w:rPr>
        <w:t>sponsor by another entity</w:t>
      </w:r>
      <w:r w:rsidR="00856438">
        <w:rPr>
          <w:sz w:val="24"/>
          <w:szCs w:val="24"/>
        </w:rPr>
        <w:t xml:space="preserve"> </w:t>
      </w:r>
      <w:r w:rsidR="007238F8" w:rsidRPr="007238F8">
        <w:rPr>
          <w:sz w:val="24"/>
          <w:szCs w:val="24"/>
        </w:rPr>
        <w:t>remains the constructive sponsor such that other</w:t>
      </w:r>
      <w:r w:rsidR="00856438">
        <w:rPr>
          <w:sz w:val="24"/>
          <w:szCs w:val="24"/>
        </w:rPr>
        <w:t xml:space="preserve"> </w:t>
      </w:r>
      <w:r w:rsidR="007238F8" w:rsidRPr="007238F8">
        <w:rPr>
          <w:sz w:val="24"/>
          <w:szCs w:val="24"/>
        </w:rPr>
        <w:t xml:space="preserve">members of </w:t>
      </w:r>
      <w:r w:rsidR="00E21765">
        <w:rPr>
          <w:sz w:val="24"/>
          <w:szCs w:val="24"/>
        </w:rPr>
        <w:t xml:space="preserve">plan sponsor’s </w:t>
      </w:r>
      <w:r w:rsidR="007238F8" w:rsidRPr="007238F8">
        <w:rPr>
          <w:sz w:val="24"/>
          <w:szCs w:val="24"/>
        </w:rPr>
        <w:t xml:space="preserve">controlled group </w:t>
      </w:r>
      <w:r w:rsidR="005C5C39">
        <w:rPr>
          <w:sz w:val="24"/>
          <w:szCs w:val="24"/>
        </w:rPr>
        <w:t xml:space="preserve">of companies </w:t>
      </w:r>
      <w:r w:rsidR="007238F8" w:rsidRPr="007238F8">
        <w:rPr>
          <w:sz w:val="24"/>
          <w:szCs w:val="24"/>
        </w:rPr>
        <w:t xml:space="preserve">may be held liable </w:t>
      </w:r>
      <w:r w:rsidR="00A233E7">
        <w:rPr>
          <w:sz w:val="24"/>
          <w:szCs w:val="24"/>
        </w:rPr>
        <w:t>under ERISA</w:t>
      </w:r>
      <w:r w:rsidR="00A233E7" w:rsidRPr="007238F8">
        <w:rPr>
          <w:sz w:val="24"/>
          <w:szCs w:val="24"/>
        </w:rPr>
        <w:t xml:space="preserve"> </w:t>
      </w:r>
      <w:r w:rsidR="007238F8" w:rsidRPr="007238F8">
        <w:rPr>
          <w:sz w:val="24"/>
          <w:szCs w:val="24"/>
        </w:rPr>
        <w:t>for the plan’s termination</w:t>
      </w:r>
      <w:r w:rsidR="00856438">
        <w:rPr>
          <w:sz w:val="24"/>
          <w:szCs w:val="24"/>
        </w:rPr>
        <w:t xml:space="preserve"> </w:t>
      </w:r>
      <w:r w:rsidR="007238F8" w:rsidRPr="007238F8">
        <w:rPr>
          <w:sz w:val="24"/>
          <w:szCs w:val="24"/>
        </w:rPr>
        <w:t>liabilities</w:t>
      </w:r>
      <w:r w:rsidR="00856438">
        <w:rPr>
          <w:sz w:val="24"/>
          <w:szCs w:val="24"/>
        </w:rPr>
        <w:t>.</w:t>
      </w:r>
    </w:p>
    <w:p w14:paraId="38E1A4D1" w14:textId="437CB221" w:rsidR="00E21765" w:rsidRDefault="00E21765" w:rsidP="007238F8">
      <w:pPr>
        <w:pStyle w:val="NoSpacing"/>
        <w:jc w:val="both"/>
        <w:rPr>
          <w:sz w:val="24"/>
          <w:szCs w:val="24"/>
        </w:rPr>
      </w:pPr>
    </w:p>
    <w:p w14:paraId="41FA408B" w14:textId="7B1D0768" w:rsidR="004E64A6" w:rsidRPr="00243B4A" w:rsidRDefault="004E64A6" w:rsidP="004E64A6">
      <w:pPr>
        <w:pStyle w:val="NoSpacing"/>
        <w:jc w:val="both"/>
        <w:rPr>
          <w:sz w:val="24"/>
          <w:szCs w:val="24"/>
        </w:rPr>
      </w:pPr>
      <w:r w:rsidRPr="00243B4A">
        <w:rPr>
          <w:b/>
          <w:bCs/>
          <w:sz w:val="24"/>
          <w:szCs w:val="24"/>
        </w:rPr>
        <w:t>IATAI Enterprises, Inc. v. Loyacono</w:t>
      </w:r>
      <w:r w:rsidRPr="00243B4A">
        <w:rPr>
          <w:sz w:val="24"/>
          <w:szCs w:val="24"/>
        </w:rPr>
        <w:t>, Case No. 3D19-1831 (Fla. 3d DCA 2020).</w:t>
      </w:r>
    </w:p>
    <w:p w14:paraId="3CE85650" w14:textId="57805DD5" w:rsidR="00856438" w:rsidRDefault="004F2E14" w:rsidP="007238F8">
      <w:pPr>
        <w:pStyle w:val="NoSpacing"/>
        <w:jc w:val="both"/>
        <w:rPr>
          <w:sz w:val="24"/>
          <w:szCs w:val="24"/>
        </w:rPr>
      </w:pPr>
      <w:r w:rsidRPr="004F2E14">
        <w:rPr>
          <w:sz w:val="24"/>
          <w:szCs w:val="24"/>
        </w:rPr>
        <w:t>Florida Rule of Civil</w:t>
      </w:r>
      <w:r>
        <w:rPr>
          <w:sz w:val="24"/>
          <w:szCs w:val="24"/>
        </w:rPr>
        <w:t xml:space="preserve"> </w:t>
      </w:r>
      <w:r w:rsidRPr="004F2E14">
        <w:rPr>
          <w:sz w:val="24"/>
          <w:szCs w:val="24"/>
        </w:rPr>
        <w:t>Procedure 1.280(b)(5) does not apply to non-parties</w:t>
      </w:r>
      <w:r>
        <w:rPr>
          <w:sz w:val="24"/>
          <w:szCs w:val="24"/>
        </w:rPr>
        <w:t xml:space="preserve"> and a </w:t>
      </w:r>
      <w:r w:rsidR="004E64A6" w:rsidRPr="004E64A6">
        <w:rPr>
          <w:sz w:val="24"/>
          <w:szCs w:val="24"/>
        </w:rPr>
        <w:t xml:space="preserve">non-party </w:t>
      </w:r>
      <w:r w:rsidR="004E64A6">
        <w:rPr>
          <w:sz w:val="24"/>
          <w:szCs w:val="24"/>
        </w:rPr>
        <w:t>objecting to discovery propounded upon it cannot be compelled to produce a log</w:t>
      </w:r>
      <w:r>
        <w:rPr>
          <w:sz w:val="24"/>
          <w:szCs w:val="24"/>
        </w:rPr>
        <w:t>.</w:t>
      </w:r>
      <w:bookmarkEnd w:id="0"/>
      <w:bookmarkEnd w:id="1"/>
      <w:bookmarkEnd w:id="2"/>
    </w:p>
    <w:p w14:paraId="729C9170" w14:textId="48541B5C" w:rsidR="004F2E14" w:rsidRDefault="004F2E14" w:rsidP="007238F8">
      <w:pPr>
        <w:pStyle w:val="NoSpacing"/>
        <w:jc w:val="both"/>
        <w:rPr>
          <w:sz w:val="24"/>
          <w:szCs w:val="24"/>
        </w:rPr>
      </w:pPr>
    </w:p>
    <w:p w14:paraId="5DAA690B" w14:textId="1477752F" w:rsidR="004F2E14" w:rsidRDefault="00497615" w:rsidP="00497615">
      <w:pPr>
        <w:pStyle w:val="NoSpacing"/>
        <w:jc w:val="both"/>
        <w:rPr>
          <w:sz w:val="24"/>
          <w:szCs w:val="24"/>
        </w:rPr>
      </w:pPr>
      <w:r w:rsidRPr="00497615">
        <w:rPr>
          <w:b/>
          <w:bCs/>
          <w:sz w:val="24"/>
          <w:szCs w:val="24"/>
        </w:rPr>
        <w:t xml:space="preserve">Merle Wood &amp; Associates, Inc. </w:t>
      </w:r>
      <w:r>
        <w:rPr>
          <w:b/>
          <w:bCs/>
          <w:sz w:val="24"/>
          <w:szCs w:val="24"/>
        </w:rPr>
        <w:t xml:space="preserve">v. </w:t>
      </w:r>
      <w:r w:rsidRPr="00497615">
        <w:rPr>
          <w:b/>
          <w:bCs/>
          <w:sz w:val="24"/>
          <w:szCs w:val="24"/>
        </w:rPr>
        <w:t>Frazer</w:t>
      </w:r>
      <w:r w:rsidRPr="00497615">
        <w:rPr>
          <w:sz w:val="24"/>
          <w:szCs w:val="24"/>
        </w:rPr>
        <w:t>,</w:t>
      </w:r>
      <w:r>
        <w:rPr>
          <w:sz w:val="24"/>
          <w:szCs w:val="24"/>
        </w:rPr>
        <w:t xml:space="preserve"> Case </w:t>
      </w:r>
      <w:r w:rsidRPr="00497615">
        <w:rPr>
          <w:sz w:val="24"/>
          <w:szCs w:val="24"/>
        </w:rPr>
        <w:t>No. 4D19-2238</w:t>
      </w:r>
      <w:r>
        <w:rPr>
          <w:sz w:val="24"/>
          <w:szCs w:val="24"/>
        </w:rPr>
        <w:t xml:space="preserve"> (Fla. 4th DCA 2020). </w:t>
      </w:r>
    </w:p>
    <w:p w14:paraId="45D74AF0" w14:textId="76D42A69" w:rsidR="00497615" w:rsidRDefault="003258C1" w:rsidP="004976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party claiming unjust enrichment must prove the value of the benefit provided to and retained by the defendant; </w:t>
      </w:r>
      <w:r w:rsidR="009722D9">
        <w:rPr>
          <w:sz w:val="24"/>
          <w:szCs w:val="24"/>
        </w:rPr>
        <w:t>providing evidence of the contractual value of commissions is not sufficient substantial, competent evidence</w:t>
      </w:r>
      <w:r w:rsidR="00A233E7">
        <w:rPr>
          <w:sz w:val="24"/>
          <w:szCs w:val="24"/>
        </w:rPr>
        <w:t xml:space="preserve"> of the unjust enrichment</w:t>
      </w:r>
      <w:r w:rsidR="009722D9">
        <w:rPr>
          <w:sz w:val="24"/>
          <w:szCs w:val="24"/>
        </w:rPr>
        <w:t>.</w:t>
      </w:r>
    </w:p>
    <w:p w14:paraId="23C3F22A" w14:textId="2F2DF267" w:rsidR="009722D9" w:rsidRDefault="009722D9" w:rsidP="00497615">
      <w:pPr>
        <w:pStyle w:val="NoSpacing"/>
        <w:jc w:val="both"/>
        <w:rPr>
          <w:sz w:val="24"/>
          <w:szCs w:val="24"/>
        </w:rPr>
      </w:pPr>
    </w:p>
    <w:p w14:paraId="10B9154A" w14:textId="0B99E195" w:rsidR="009722D9" w:rsidRDefault="00E54A60" w:rsidP="00E54A60">
      <w:pPr>
        <w:pStyle w:val="NoSpacing"/>
        <w:jc w:val="both"/>
        <w:rPr>
          <w:sz w:val="24"/>
          <w:szCs w:val="24"/>
        </w:rPr>
      </w:pPr>
      <w:r w:rsidRPr="00E54A60">
        <w:rPr>
          <w:b/>
          <w:bCs/>
          <w:sz w:val="24"/>
          <w:szCs w:val="24"/>
        </w:rPr>
        <w:t xml:space="preserve">Indian River County </w:t>
      </w:r>
      <w:r>
        <w:rPr>
          <w:b/>
          <w:bCs/>
          <w:sz w:val="24"/>
          <w:szCs w:val="24"/>
        </w:rPr>
        <w:t xml:space="preserve">v. </w:t>
      </w:r>
      <w:r w:rsidRPr="00E54A60">
        <w:rPr>
          <w:b/>
          <w:bCs/>
          <w:sz w:val="24"/>
          <w:szCs w:val="24"/>
        </w:rPr>
        <w:t>Ocean Concrete, Inc.</w:t>
      </w:r>
      <w:r>
        <w:rPr>
          <w:sz w:val="24"/>
          <w:szCs w:val="24"/>
        </w:rPr>
        <w:t xml:space="preserve">, Case </w:t>
      </w:r>
      <w:r w:rsidRPr="00E54A60">
        <w:rPr>
          <w:sz w:val="24"/>
          <w:szCs w:val="24"/>
        </w:rPr>
        <w:t>No. 4D19-3611</w:t>
      </w:r>
      <w:r>
        <w:rPr>
          <w:sz w:val="24"/>
          <w:szCs w:val="24"/>
        </w:rPr>
        <w:t xml:space="preserve"> (Fla. 4th DCA 2020).</w:t>
      </w:r>
    </w:p>
    <w:p w14:paraId="296FC641" w14:textId="0FA578CE" w:rsidR="00E54A60" w:rsidRDefault="004A0EFB" w:rsidP="00E54A6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Damages </w:t>
      </w:r>
      <w:r w:rsidR="00181BBB">
        <w:rPr>
          <w:sz w:val="24"/>
          <w:szCs w:val="24"/>
        </w:rPr>
        <w:t xml:space="preserve">for violation of the Bert Harris Act, Florida Statute section </w:t>
      </w:r>
      <w:r w:rsidR="00181BBB" w:rsidRPr="00181BBB">
        <w:rPr>
          <w:sz w:val="24"/>
          <w:szCs w:val="24"/>
        </w:rPr>
        <w:t>70.001</w:t>
      </w:r>
      <w:r w:rsidR="001202DB">
        <w:rPr>
          <w:sz w:val="24"/>
          <w:szCs w:val="24"/>
        </w:rPr>
        <w:t xml:space="preserve">, arise from the </w:t>
      </w:r>
      <w:r w:rsidR="00181BBB">
        <w:rPr>
          <w:sz w:val="24"/>
          <w:szCs w:val="24"/>
        </w:rPr>
        <w:t xml:space="preserve">loss of the investment backed expectation </w:t>
      </w:r>
      <w:r w:rsidR="00096CB1">
        <w:rPr>
          <w:sz w:val="24"/>
          <w:szCs w:val="24"/>
        </w:rPr>
        <w:t>and valu</w:t>
      </w:r>
      <w:r w:rsidR="00DD6534">
        <w:rPr>
          <w:sz w:val="24"/>
          <w:szCs w:val="24"/>
        </w:rPr>
        <w:t xml:space="preserve">ation is not based </w:t>
      </w:r>
      <w:r w:rsidR="001202DB">
        <w:rPr>
          <w:sz w:val="24"/>
          <w:szCs w:val="24"/>
        </w:rPr>
        <w:t xml:space="preserve"> on the ability of the owner to </w:t>
      </w:r>
      <w:r w:rsidR="00570553">
        <w:rPr>
          <w:sz w:val="24"/>
          <w:szCs w:val="24"/>
        </w:rPr>
        <w:t>attain</w:t>
      </w:r>
      <w:r w:rsidR="00096CB1">
        <w:rPr>
          <w:sz w:val="24"/>
          <w:szCs w:val="24"/>
        </w:rPr>
        <w:t xml:space="preserve"> its goal, the date </w:t>
      </w:r>
      <w:r w:rsidR="00926DD9">
        <w:rPr>
          <w:sz w:val="24"/>
          <w:szCs w:val="24"/>
        </w:rPr>
        <w:t xml:space="preserve">when the owner could </w:t>
      </w:r>
      <w:r w:rsidR="001202DB">
        <w:rPr>
          <w:sz w:val="24"/>
          <w:szCs w:val="24"/>
        </w:rPr>
        <w:t>attain its goal</w:t>
      </w:r>
      <w:r w:rsidR="00096CB1">
        <w:rPr>
          <w:sz w:val="24"/>
          <w:szCs w:val="24"/>
        </w:rPr>
        <w:t>,</w:t>
      </w:r>
      <w:r w:rsidR="001202DB">
        <w:rPr>
          <w:sz w:val="24"/>
          <w:szCs w:val="24"/>
        </w:rPr>
        <w:t xml:space="preserve"> or </w:t>
      </w:r>
      <w:r w:rsidR="00926DD9">
        <w:rPr>
          <w:sz w:val="24"/>
          <w:szCs w:val="24"/>
        </w:rPr>
        <w:t>on the highest and best use (value) of the property</w:t>
      </w:r>
      <w:r w:rsidR="00DD6534">
        <w:rPr>
          <w:sz w:val="24"/>
          <w:szCs w:val="24"/>
        </w:rPr>
        <w:t xml:space="preserve">. </w:t>
      </w:r>
      <w:r w:rsidR="00243B4A">
        <w:rPr>
          <w:sz w:val="24"/>
          <w:szCs w:val="24"/>
        </w:rPr>
        <w:t>An owner can testify as to the loss of investment backed expectation.</w:t>
      </w:r>
    </w:p>
    <w:p w14:paraId="1AF2DA7A" w14:textId="71B43C54" w:rsidR="00570553" w:rsidRDefault="00570553" w:rsidP="00E54A60">
      <w:pPr>
        <w:pStyle w:val="NoSpacing"/>
        <w:jc w:val="both"/>
        <w:rPr>
          <w:sz w:val="24"/>
          <w:szCs w:val="24"/>
        </w:rPr>
      </w:pPr>
    </w:p>
    <w:p w14:paraId="2A7B63B2" w14:textId="5E535E29" w:rsidR="00570553" w:rsidRDefault="00653179" w:rsidP="00653179">
      <w:pPr>
        <w:pStyle w:val="NoSpacing"/>
        <w:jc w:val="both"/>
        <w:rPr>
          <w:sz w:val="24"/>
          <w:szCs w:val="24"/>
        </w:rPr>
      </w:pPr>
      <w:r w:rsidRPr="00653179">
        <w:rPr>
          <w:b/>
          <w:bCs/>
          <w:sz w:val="24"/>
          <w:szCs w:val="24"/>
        </w:rPr>
        <w:t>The Cove &amp; Deerfield Beach, LLC v. R Fast, Inc.</w:t>
      </w:r>
      <w:r w:rsidRPr="006531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653179">
        <w:rPr>
          <w:sz w:val="24"/>
          <w:szCs w:val="24"/>
        </w:rPr>
        <w:t>No. 4D20-1782</w:t>
      </w:r>
      <w:r>
        <w:rPr>
          <w:sz w:val="24"/>
          <w:szCs w:val="24"/>
        </w:rPr>
        <w:t xml:space="preserve"> (Fla. 4th DCA 2020).</w:t>
      </w:r>
    </w:p>
    <w:p w14:paraId="3F502F60" w14:textId="0CD68F03" w:rsidR="00653179" w:rsidRDefault="00653179" w:rsidP="0065317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42B9">
        <w:rPr>
          <w:sz w:val="24"/>
          <w:szCs w:val="24"/>
        </w:rPr>
        <w:t xml:space="preserve">requirement </w:t>
      </w:r>
      <w:r>
        <w:rPr>
          <w:sz w:val="24"/>
          <w:szCs w:val="24"/>
        </w:rPr>
        <w:t xml:space="preserve">of a tenant </w:t>
      </w:r>
      <w:r w:rsidR="008242B9">
        <w:rPr>
          <w:sz w:val="24"/>
          <w:szCs w:val="24"/>
        </w:rPr>
        <w:t xml:space="preserve">to deposit rent into the Registry of the Court under Florida Statute section </w:t>
      </w:r>
      <w:r w:rsidR="008242B9" w:rsidRPr="008242B9">
        <w:rPr>
          <w:sz w:val="24"/>
          <w:szCs w:val="24"/>
        </w:rPr>
        <w:t>83.232(5)</w:t>
      </w:r>
      <w:r w:rsidR="008242B9">
        <w:rPr>
          <w:sz w:val="24"/>
          <w:szCs w:val="24"/>
        </w:rPr>
        <w:t xml:space="preserve"> is strict, and the failure of a tenant to</w:t>
      </w:r>
      <w:r w:rsidR="00DD6534">
        <w:rPr>
          <w:sz w:val="24"/>
          <w:szCs w:val="24"/>
        </w:rPr>
        <w:t xml:space="preserve"> timely</w:t>
      </w:r>
      <w:r w:rsidR="008242B9">
        <w:rPr>
          <w:sz w:val="24"/>
          <w:szCs w:val="24"/>
        </w:rPr>
        <w:t xml:space="preserve"> do </w:t>
      </w:r>
      <w:r w:rsidR="005C5C39">
        <w:rPr>
          <w:sz w:val="24"/>
          <w:szCs w:val="24"/>
        </w:rPr>
        <w:t>so compels eviction even if the tenant mailed the rent check to the clerk two days before its due date.</w:t>
      </w:r>
    </w:p>
    <w:p w14:paraId="079394F1" w14:textId="43C59F5E" w:rsidR="005C5C39" w:rsidRDefault="005C5C39" w:rsidP="00653179">
      <w:pPr>
        <w:pStyle w:val="NoSpacing"/>
        <w:jc w:val="both"/>
        <w:rPr>
          <w:sz w:val="24"/>
          <w:szCs w:val="24"/>
        </w:rPr>
      </w:pPr>
    </w:p>
    <w:p w14:paraId="0F7FAD5F" w14:textId="77777777" w:rsidR="005C5C39" w:rsidRPr="004E64A6" w:rsidRDefault="005C5C39" w:rsidP="00653179">
      <w:pPr>
        <w:pStyle w:val="NoSpacing"/>
        <w:jc w:val="both"/>
        <w:rPr>
          <w:sz w:val="24"/>
          <w:szCs w:val="24"/>
        </w:rPr>
      </w:pPr>
    </w:p>
    <w:sectPr w:rsidR="005C5C39" w:rsidRPr="004E64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69A1" w14:textId="77777777" w:rsidR="008B0AF0" w:rsidRDefault="008B0AF0">
      <w:pPr>
        <w:spacing w:after="0" w:line="240" w:lineRule="auto"/>
      </w:pPr>
      <w:r>
        <w:separator/>
      </w:r>
    </w:p>
  </w:endnote>
  <w:endnote w:type="continuationSeparator" w:id="0">
    <w:p w14:paraId="3BCFFE12" w14:textId="77777777" w:rsidR="008B0AF0" w:rsidRDefault="008B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F60B" w14:textId="77777777" w:rsidR="00E05A49" w:rsidRDefault="009E2960">
    <w:pPr>
      <w:pStyle w:val="Footer"/>
    </w:pPr>
    <w:r>
      <w:rPr>
        <w:rFonts w:cs="Arial"/>
      </w:rPr>
      <w:t>©</w:t>
    </w:r>
    <w:r>
      <w:t xml:space="preserve"> Manuel Farach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1B51" w14:textId="77777777" w:rsidR="008B0AF0" w:rsidRDefault="008B0AF0">
      <w:pPr>
        <w:spacing w:after="0" w:line="240" w:lineRule="auto"/>
      </w:pPr>
      <w:r>
        <w:separator/>
      </w:r>
    </w:p>
  </w:footnote>
  <w:footnote w:type="continuationSeparator" w:id="0">
    <w:p w14:paraId="06CF3C62" w14:textId="77777777" w:rsidR="008B0AF0" w:rsidRDefault="008B0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49"/>
    <w:rsid w:val="00002603"/>
    <w:rsid w:val="000149E9"/>
    <w:rsid w:val="000161A3"/>
    <w:rsid w:val="000208C2"/>
    <w:rsid w:val="0002512C"/>
    <w:rsid w:val="0003041F"/>
    <w:rsid w:val="00034BC6"/>
    <w:rsid w:val="00035D89"/>
    <w:rsid w:val="00037EDB"/>
    <w:rsid w:val="00044025"/>
    <w:rsid w:val="00045723"/>
    <w:rsid w:val="00045764"/>
    <w:rsid w:val="00055E74"/>
    <w:rsid w:val="000565D5"/>
    <w:rsid w:val="00064BDB"/>
    <w:rsid w:val="00064C6D"/>
    <w:rsid w:val="00065956"/>
    <w:rsid w:val="0007101B"/>
    <w:rsid w:val="000737CD"/>
    <w:rsid w:val="00076AB8"/>
    <w:rsid w:val="000932E9"/>
    <w:rsid w:val="00096CB1"/>
    <w:rsid w:val="000A44D9"/>
    <w:rsid w:val="000A5B4B"/>
    <w:rsid w:val="000A5EEF"/>
    <w:rsid w:val="000A68BE"/>
    <w:rsid w:val="000B4EAA"/>
    <w:rsid w:val="000C3781"/>
    <w:rsid w:val="000C60D6"/>
    <w:rsid w:val="000D3DF0"/>
    <w:rsid w:val="000D5037"/>
    <w:rsid w:val="000D5578"/>
    <w:rsid w:val="000D7016"/>
    <w:rsid w:val="000E11B3"/>
    <w:rsid w:val="000E1E47"/>
    <w:rsid w:val="000E21DE"/>
    <w:rsid w:val="000F1929"/>
    <w:rsid w:val="000F5AB7"/>
    <w:rsid w:val="000F6B6E"/>
    <w:rsid w:val="001002F1"/>
    <w:rsid w:val="00104942"/>
    <w:rsid w:val="001054C2"/>
    <w:rsid w:val="00105B85"/>
    <w:rsid w:val="0010655E"/>
    <w:rsid w:val="0011166F"/>
    <w:rsid w:val="0011447A"/>
    <w:rsid w:val="001202DB"/>
    <w:rsid w:val="00132FE8"/>
    <w:rsid w:val="00135DD8"/>
    <w:rsid w:val="0014078F"/>
    <w:rsid w:val="001445DC"/>
    <w:rsid w:val="00144BD1"/>
    <w:rsid w:val="00147BF1"/>
    <w:rsid w:val="00155531"/>
    <w:rsid w:val="00157C52"/>
    <w:rsid w:val="0016644D"/>
    <w:rsid w:val="00175B59"/>
    <w:rsid w:val="00176973"/>
    <w:rsid w:val="00176975"/>
    <w:rsid w:val="00181BBB"/>
    <w:rsid w:val="0018223B"/>
    <w:rsid w:val="00182680"/>
    <w:rsid w:val="00184DE8"/>
    <w:rsid w:val="001911BC"/>
    <w:rsid w:val="00193EBA"/>
    <w:rsid w:val="00194F64"/>
    <w:rsid w:val="00196FA2"/>
    <w:rsid w:val="00197D0F"/>
    <w:rsid w:val="001B2622"/>
    <w:rsid w:val="001B2630"/>
    <w:rsid w:val="001B5A7A"/>
    <w:rsid w:val="001C07C9"/>
    <w:rsid w:val="001C2517"/>
    <w:rsid w:val="001C3287"/>
    <w:rsid w:val="001C5F91"/>
    <w:rsid w:val="001D1C72"/>
    <w:rsid w:val="001D1F97"/>
    <w:rsid w:val="001D51DA"/>
    <w:rsid w:val="001E545B"/>
    <w:rsid w:val="001E7A74"/>
    <w:rsid w:val="001E7FEF"/>
    <w:rsid w:val="001F123A"/>
    <w:rsid w:val="001F7FDC"/>
    <w:rsid w:val="0020078F"/>
    <w:rsid w:val="002047EC"/>
    <w:rsid w:val="00210147"/>
    <w:rsid w:val="00211989"/>
    <w:rsid w:val="00216785"/>
    <w:rsid w:val="00217C5A"/>
    <w:rsid w:val="0023277D"/>
    <w:rsid w:val="0023667F"/>
    <w:rsid w:val="002402A5"/>
    <w:rsid w:val="00241559"/>
    <w:rsid w:val="00243B4A"/>
    <w:rsid w:val="00244695"/>
    <w:rsid w:val="00251B44"/>
    <w:rsid w:val="002542EA"/>
    <w:rsid w:val="002544FE"/>
    <w:rsid w:val="00255304"/>
    <w:rsid w:val="0026039C"/>
    <w:rsid w:val="0026192A"/>
    <w:rsid w:val="002675BD"/>
    <w:rsid w:val="00267D56"/>
    <w:rsid w:val="0027046F"/>
    <w:rsid w:val="002732CD"/>
    <w:rsid w:val="00274985"/>
    <w:rsid w:val="00283D08"/>
    <w:rsid w:val="00283E26"/>
    <w:rsid w:val="00291D94"/>
    <w:rsid w:val="00292CC1"/>
    <w:rsid w:val="002A732D"/>
    <w:rsid w:val="002B7F7D"/>
    <w:rsid w:val="002C2AE3"/>
    <w:rsid w:val="002C6996"/>
    <w:rsid w:val="002D2C17"/>
    <w:rsid w:val="002D4AAA"/>
    <w:rsid w:val="002D67EF"/>
    <w:rsid w:val="002E51F1"/>
    <w:rsid w:val="002E6C94"/>
    <w:rsid w:val="002F3E87"/>
    <w:rsid w:val="00302C54"/>
    <w:rsid w:val="003035E9"/>
    <w:rsid w:val="00303FDD"/>
    <w:rsid w:val="00305555"/>
    <w:rsid w:val="00310C74"/>
    <w:rsid w:val="00310D89"/>
    <w:rsid w:val="00324BC6"/>
    <w:rsid w:val="003258C1"/>
    <w:rsid w:val="003259A3"/>
    <w:rsid w:val="00327D9F"/>
    <w:rsid w:val="00331A8D"/>
    <w:rsid w:val="003453EC"/>
    <w:rsid w:val="00345743"/>
    <w:rsid w:val="00354134"/>
    <w:rsid w:val="0035439A"/>
    <w:rsid w:val="003551E0"/>
    <w:rsid w:val="00356DAE"/>
    <w:rsid w:val="00367CBE"/>
    <w:rsid w:val="003731CB"/>
    <w:rsid w:val="0037338A"/>
    <w:rsid w:val="00374329"/>
    <w:rsid w:val="00381CF8"/>
    <w:rsid w:val="00384145"/>
    <w:rsid w:val="00385FCD"/>
    <w:rsid w:val="00392215"/>
    <w:rsid w:val="003934B8"/>
    <w:rsid w:val="00394C6D"/>
    <w:rsid w:val="003A0ACE"/>
    <w:rsid w:val="003A4032"/>
    <w:rsid w:val="003A783A"/>
    <w:rsid w:val="003B1540"/>
    <w:rsid w:val="003B6286"/>
    <w:rsid w:val="003B6D28"/>
    <w:rsid w:val="003B7003"/>
    <w:rsid w:val="003C7390"/>
    <w:rsid w:val="003C79BD"/>
    <w:rsid w:val="003C7C29"/>
    <w:rsid w:val="003E1A88"/>
    <w:rsid w:val="003E2FA8"/>
    <w:rsid w:val="003E39B7"/>
    <w:rsid w:val="003E4839"/>
    <w:rsid w:val="003E6685"/>
    <w:rsid w:val="003F3C82"/>
    <w:rsid w:val="00406C1C"/>
    <w:rsid w:val="00407DAF"/>
    <w:rsid w:val="004126C1"/>
    <w:rsid w:val="004177C3"/>
    <w:rsid w:val="0042061E"/>
    <w:rsid w:val="004238CA"/>
    <w:rsid w:val="00425EB1"/>
    <w:rsid w:val="00426BA4"/>
    <w:rsid w:val="00431ED0"/>
    <w:rsid w:val="0043672D"/>
    <w:rsid w:val="00441D05"/>
    <w:rsid w:val="00453BC4"/>
    <w:rsid w:val="00453D88"/>
    <w:rsid w:val="0046074D"/>
    <w:rsid w:val="00465F31"/>
    <w:rsid w:val="0046703B"/>
    <w:rsid w:val="00476717"/>
    <w:rsid w:val="00476F1B"/>
    <w:rsid w:val="00477DE9"/>
    <w:rsid w:val="00484C1C"/>
    <w:rsid w:val="00490186"/>
    <w:rsid w:val="00497615"/>
    <w:rsid w:val="004977F1"/>
    <w:rsid w:val="00497A18"/>
    <w:rsid w:val="004A0EFB"/>
    <w:rsid w:val="004A422B"/>
    <w:rsid w:val="004A4344"/>
    <w:rsid w:val="004B5BB6"/>
    <w:rsid w:val="004B5C6C"/>
    <w:rsid w:val="004C141B"/>
    <w:rsid w:val="004C1722"/>
    <w:rsid w:val="004D238E"/>
    <w:rsid w:val="004D30A8"/>
    <w:rsid w:val="004D3D3D"/>
    <w:rsid w:val="004D7E05"/>
    <w:rsid w:val="004E5409"/>
    <w:rsid w:val="004E5DCA"/>
    <w:rsid w:val="004E64A6"/>
    <w:rsid w:val="004E6720"/>
    <w:rsid w:val="004E6E18"/>
    <w:rsid w:val="004F2831"/>
    <w:rsid w:val="004F2E14"/>
    <w:rsid w:val="004F747B"/>
    <w:rsid w:val="0051083D"/>
    <w:rsid w:val="00515036"/>
    <w:rsid w:val="00516391"/>
    <w:rsid w:val="00517601"/>
    <w:rsid w:val="0053505B"/>
    <w:rsid w:val="0053628B"/>
    <w:rsid w:val="00537FFB"/>
    <w:rsid w:val="00540D2C"/>
    <w:rsid w:val="005466E9"/>
    <w:rsid w:val="005505AA"/>
    <w:rsid w:val="00550F81"/>
    <w:rsid w:val="00551889"/>
    <w:rsid w:val="00552CD7"/>
    <w:rsid w:val="00555CB3"/>
    <w:rsid w:val="005600F1"/>
    <w:rsid w:val="005621A3"/>
    <w:rsid w:val="00566C6B"/>
    <w:rsid w:val="00570553"/>
    <w:rsid w:val="00570DDD"/>
    <w:rsid w:val="00571804"/>
    <w:rsid w:val="005722E8"/>
    <w:rsid w:val="00572AAA"/>
    <w:rsid w:val="00574D84"/>
    <w:rsid w:val="00575D06"/>
    <w:rsid w:val="00576F7D"/>
    <w:rsid w:val="005807EF"/>
    <w:rsid w:val="0058251E"/>
    <w:rsid w:val="00586F53"/>
    <w:rsid w:val="00586FB4"/>
    <w:rsid w:val="00591FC8"/>
    <w:rsid w:val="00597611"/>
    <w:rsid w:val="005A6A33"/>
    <w:rsid w:val="005B39CD"/>
    <w:rsid w:val="005C06F0"/>
    <w:rsid w:val="005C33D9"/>
    <w:rsid w:val="005C5C39"/>
    <w:rsid w:val="005D125B"/>
    <w:rsid w:val="005D13F0"/>
    <w:rsid w:val="005D1DA5"/>
    <w:rsid w:val="005D3CDD"/>
    <w:rsid w:val="005E46F1"/>
    <w:rsid w:val="005E607F"/>
    <w:rsid w:val="005F2C0E"/>
    <w:rsid w:val="005F2CB3"/>
    <w:rsid w:val="00600760"/>
    <w:rsid w:val="006025B5"/>
    <w:rsid w:val="0060410C"/>
    <w:rsid w:val="006047CB"/>
    <w:rsid w:val="00604CC0"/>
    <w:rsid w:val="00605D08"/>
    <w:rsid w:val="006065B9"/>
    <w:rsid w:val="006110D7"/>
    <w:rsid w:val="006203E6"/>
    <w:rsid w:val="006220EC"/>
    <w:rsid w:val="00623D60"/>
    <w:rsid w:val="00631922"/>
    <w:rsid w:val="00635601"/>
    <w:rsid w:val="00636B76"/>
    <w:rsid w:val="00644A7F"/>
    <w:rsid w:val="0064767E"/>
    <w:rsid w:val="00647811"/>
    <w:rsid w:val="006504BD"/>
    <w:rsid w:val="00653179"/>
    <w:rsid w:val="00653FEA"/>
    <w:rsid w:val="00656547"/>
    <w:rsid w:val="0067148D"/>
    <w:rsid w:val="00673712"/>
    <w:rsid w:val="006765B0"/>
    <w:rsid w:val="00677264"/>
    <w:rsid w:val="00680335"/>
    <w:rsid w:val="006855A0"/>
    <w:rsid w:val="00687D3F"/>
    <w:rsid w:val="0069222A"/>
    <w:rsid w:val="006925C1"/>
    <w:rsid w:val="00692E53"/>
    <w:rsid w:val="00693570"/>
    <w:rsid w:val="00693801"/>
    <w:rsid w:val="006970AD"/>
    <w:rsid w:val="0069763C"/>
    <w:rsid w:val="006A0C26"/>
    <w:rsid w:val="006B3609"/>
    <w:rsid w:val="006B5B68"/>
    <w:rsid w:val="006E1CA0"/>
    <w:rsid w:val="006E5D65"/>
    <w:rsid w:val="006F1624"/>
    <w:rsid w:val="00702F81"/>
    <w:rsid w:val="00705C37"/>
    <w:rsid w:val="00713BB3"/>
    <w:rsid w:val="007151B2"/>
    <w:rsid w:val="0071697D"/>
    <w:rsid w:val="00720CA8"/>
    <w:rsid w:val="00721049"/>
    <w:rsid w:val="00722290"/>
    <w:rsid w:val="00722A27"/>
    <w:rsid w:val="007238F8"/>
    <w:rsid w:val="0072430A"/>
    <w:rsid w:val="007269A7"/>
    <w:rsid w:val="0073016D"/>
    <w:rsid w:val="007330C0"/>
    <w:rsid w:val="00735AAB"/>
    <w:rsid w:val="00742746"/>
    <w:rsid w:val="00742855"/>
    <w:rsid w:val="00742CF5"/>
    <w:rsid w:val="0074429C"/>
    <w:rsid w:val="0074500B"/>
    <w:rsid w:val="00746B53"/>
    <w:rsid w:val="00751392"/>
    <w:rsid w:val="00751434"/>
    <w:rsid w:val="00751493"/>
    <w:rsid w:val="00751A1F"/>
    <w:rsid w:val="0075395E"/>
    <w:rsid w:val="00755F26"/>
    <w:rsid w:val="007604CE"/>
    <w:rsid w:val="00761144"/>
    <w:rsid w:val="00766CDD"/>
    <w:rsid w:val="00772D63"/>
    <w:rsid w:val="00774A18"/>
    <w:rsid w:val="00774DA8"/>
    <w:rsid w:val="0077564C"/>
    <w:rsid w:val="00783D32"/>
    <w:rsid w:val="00783E1C"/>
    <w:rsid w:val="0079128F"/>
    <w:rsid w:val="007A0D48"/>
    <w:rsid w:val="007B09C0"/>
    <w:rsid w:val="007B5162"/>
    <w:rsid w:val="007C4614"/>
    <w:rsid w:val="007C541D"/>
    <w:rsid w:val="007D23F2"/>
    <w:rsid w:val="007D4FE9"/>
    <w:rsid w:val="007E05A4"/>
    <w:rsid w:val="007E2649"/>
    <w:rsid w:val="007E3010"/>
    <w:rsid w:val="007E7E21"/>
    <w:rsid w:val="007F1293"/>
    <w:rsid w:val="007F295A"/>
    <w:rsid w:val="007F6C51"/>
    <w:rsid w:val="007F71D9"/>
    <w:rsid w:val="007F77C9"/>
    <w:rsid w:val="00811311"/>
    <w:rsid w:val="008116F9"/>
    <w:rsid w:val="008242B9"/>
    <w:rsid w:val="00830183"/>
    <w:rsid w:val="00834472"/>
    <w:rsid w:val="00840C0E"/>
    <w:rsid w:val="0084240F"/>
    <w:rsid w:val="00844E36"/>
    <w:rsid w:val="00847C28"/>
    <w:rsid w:val="00851270"/>
    <w:rsid w:val="00851A5B"/>
    <w:rsid w:val="00851ECC"/>
    <w:rsid w:val="008520BD"/>
    <w:rsid w:val="00856438"/>
    <w:rsid w:val="00857DEF"/>
    <w:rsid w:val="00866B0E"/>
    <w:rsid w:val="00866F34"/>
    <w:rsid w:val="0086777A"/>
    <w:rsid w:val="008723A5"/>
    <w:rsid w:val="008744F3"/>
    <w:rsid w:val="008854BD"/>
    <w:rsid w:val="00885CC0"/>
    <w:rsid w:val="00890E0D"/>
    <w:rsid w:val="00890E59"/>
    <w:rsid w:val="00894C3B"/>
    <w:rsid w:val="008A4AC6"/>
    <w:rsid w:val="008B0091"/>
    <w:rsid w:val="008B0AF0"/>
    <w:rsid w:val="008B5B69"/>
    <w:rsid w:val="008B75D7"/>
    <w:rsid w:val="008C4D1A"/>
    <w:rsid w:val="008E303B"/>
    <w:rsid w:val="008E4956"/>
    <w:rsid w:val="008E4957"/>
    <w:rsid w:val="008F5DE7"/>
    <w:rsid w:val="008F6835"/>
    <w:rsid w:val="008F68C6"/>
    <w:rsid w:val="00901177"/>
    <w:rsid w:val="009016A8"/>
    <w:rsid w:val="00906515"/>
    <w:rsid w:val="00906B39"/>
    <w:rsid w:val="00906DAE"/>
    <w:rsid w:val="00907B6A"/>
    <w:rsid w:val="0091062A"/>
    <w:rsid w:val="0091429B"/>
    <w:rsid w:val="009175AC"/>
    <w:rsid w:val="00917931"/>
    <w:rsid w:val="00920C4B"/>
    <w:rsid w:val="00926DD9"/>
    <w:rsid w:val="00932385"/>
    <w:rsid w:val="009459FE"/>
    <w:rsid w:val="00945ACF"/>
    <w:rsid w:val="00953584"/>
    <w:rsid w:val="00955F4D"/>
    <w:rsid w:val="00957682"/>
    <w:rsid w:val="00970E7C"/>
    <w:rsid w:val="009722D9"/>
    <w:rsid w:val="00973104"/>
    <w:rsid w:val="00975207"/>
    <w:rsid w:val="0097690B"/>
    <w:rsid w:val="00977807"/>
    <w:rsid w:val="00987302"/>
    <w:rsid w:val="0099056D"/>
    <w:rsid w:val="0099155D"/>
    <w:rsid w:val="009A0028"/>
    <w:rsid w:val="009A02A6"/>
    <w:rsid w:val="009A1BDE"/>
    <w:rsid w:val="009A416D"/>
    <w:rsid w:val="009A4D7A"/>
    <w:rsid w:val="009B14BB"/>
    <w:rsid w:val="009B6469"/>
    <w:rsid w:val="009C1355"/>
    <w:rsid w:val="009C54EF"/>
    <w:rsid w:val="009C700D"/>
    <w:rsid w:val="009D4389"/>
    <w:rsid w:val="009D5A8D"/>
    <w:rsid w:val="009D79A0"/>
    <w:rsid w:val="009E15C0"/>
    <w:rsid w:val="009E2960"/>
    <w:rsid w:val="009E2B47"/>
    <w:rsid w:val="009E351A"/>
    <w:rsid w:val="009F0E69"/>
    <w:rsid w:val="009F4946"/>
    <w:rsid w:val="009F61F0"/>
    <w:rsid w:val="00A003A9"/>
    <w:rsid w:val="00A073C2"/>
    <w:rsid w:val="00A106AC"/>
    <w:rsid w:val="00A233E7"/>
    <w:rsid w:val="00A26770"/>
    <w:rsid w:val="00A31139"/>
    <w:rsid w:val="00A43746"/>
    <w:rsid w:val="00A46447"/>
    <w:rsid w:val="00A4779D"/>
    <w:rsid w:val="00A4782C"/>
    <w:rsid w:val="00A51746"/>
    <w:rsid w:val="00A555CA"/>
    <w:rsid w:val="00A56C36"/>
    <w:rsid w:val="00A572B8"/>
    <w:rsid w:val="00A616CF"/>
    <w:rsid w:val="00A6343D"/>
    <w:rsid w:val="00A63EFA"/>
    <w:rsid w:val="00A64FB3"/>
    <w:rsid w:val="00A702EA"/>
    <w:rsid w:val="00A71208"/>
    <w:rsid w:val="00A72854"/>
    <w:rsid w:val="00A746E7"/>
    <w:rsid w:val="00A77D1B"/>
    <w:rsid w:val="00A81014"/>
    <w:rsid w:val="00A83090"/>
    <w:rsid w:val="00A83AB1"/>
    <w:rsid w:val="00A85D98"/>
    <w:rsid w:val="00A977C2"/>
    <w:rsid w:val="00AB130A"/>
    <w:rsid w:val="00AB21CE"/>
    <w:rsid w:val="00AB2246"/>
    <w:rsid w:val="00AB232C"/>
    <w:rsid w:val="00AB24FB"/>
    <w:rsid w:val="00AB3ED3"/>
    <w:rsid w:val="00AB6B93"/>
    <w:rsid w:val="00AC0122"/>
    <w:rsid w:val="00AC2B1B"/>
    <w:rsid w:val="00AD1DB7"/>
    <w:rsid w:val="00AD52A5"/>
    <w:rsid w:val="00AD5687"/>
    <w:rsid w:val="00AE68B7"/>
    <w:rsid w:val="00AE7D3A"/>
    <w:rsid w:val="00AF3B32"/>
    <w:rsid w:val="00B03123"/>
    <w:rsid w:val="00B05060"/>
    <w:rsid w:val="00B0747F"/>
    <w:rsid w:val="00B11035"/>
    <w:rsid w:val="00B1321A"/>
    <w:rsid w:val="00B2038E"/>
    <w:rsid w:val="00B22967"/>
    <w:rsid w:val="00B23539"/>
    <w:rsid w:val="00B3231A"/>
    <w:rsid w:val="00B34AC9"/>
    <w:rsid w:val="00B355E7"/>
    <w:rsid w:val="00B36AC1"/>
    <w:rsid w:val="00B400AB"/>
    <w:rsid w:val="00B43073"/>
    <w:rsid w:val="00B51586"/>
    <w:rsid w:val="00B55407"/>
    <w:rsid w:val="00B6501F"/>
    <w:rsid w:val="00B70251"/>
    <w:rsid w:val="00B70551"/>
    <w:rsid w:val="00B75771"/>
    <w:rsid w:val="00B7581F"/>
    <w:rsid w:val="00B80B75"/>
    <w:rsid w:val="00B81EA6"/>
    <w:rsid w:val="00B867F7"/>
    <w:rsid w:val="00B9402B"/>
    <w:rsid w:val="00BA2526"/>
    <w:rsid w:val="00BA38A2"/>
    <w:rsid w:val="00BA4447"/>
    <w:rsid w:val="00BA4462"/>
    <w:rsid w:val="00BC48AC"/>
    <w:rsid w:val="00BD11A7"/>
    <w:rsid w:val="00BD614C"/>
    <w:rsid w:val="00BD79D8"/>
    <w:rsid w:val="00BE0032"/>
    <w:rsid w:val="00BE1FFD"/>
    <w:rsid w:val="00BE2FA9"/>
    <w:rsid w:val="00BE5248"/>
    <w:rsid w:val="00BE5A6F"/>
    <w:rsid w:val="00BF0D37"/>
    <w:rsid w:val="00BF174F"/>
    <w:rsid w:val="00BF3E82"/>
    <w:rsid w:val="00BF7642"/>
    <w:rsid w:val="00BF7CD2"/>
    <w:rsid w:val="00C0392A"/>
    <w:rsid w:val="00C10F2A"/>
    <w:rsid w:val="00C12631"/>
    <w:rsid w:val="00C14008"/>
    <w:rsid w:val="00C23022"/>
    <w:rsid w:val="00C24894"/>
    <w:rsid w:val="00C26C14"/>
    <w:rsid w:val="00C3106B"/>
    <w:rsid w:val="00C31125"/>
    <w:rsid w:val="00C37FAF"/>
    <w:rsid w:val="00C40D73"/>
    <w:rsid w:val="00C4121F"/>
    <w:rsid w:val="00C44F40"/>
    <w:rsid w:val="00C47966"/>
    <w:rsid w:val="00C506B0"/>
    <w:rsid w:val="00C55753"/>
    <w:rsid w:val="00C55D35"/>
    <w:rsid w:val="00C600D9"/>
    <w:rsid w:val="00C6178D"/>
    <w:rsid w:val="00C63817"/>
    <w:rsid w:val="00C73DB1"/>
    <w:rsid w:val="00C76447"/>
    <w:rsid w:val="00C81123"/>
    <w:rsid w:val="00C829CD"/>
    <w:rsid w:val="00C85802"/>
    <w:rsid w:val="00C8792F"/>
    <w:rsid w:val="00C91132"/>
    <w:rsid w:val="00C91809"/>
    <w:rsid w:val="00C91C20"/>
    <w:rsid w:val="00C94709"/>
    <w:rsid w:val="00C9592D"/>
    <w:rsid w:val="00CA0D11"/>
    <w:rsid w:val="00CA4A74"/>
    <w:rsid w:val="00CA6AAD"/>
    <w:rsid w:val="00CA7434"/>
    <w:rsid w:val="00CB75DE"/>
    <w:rsid w:val="00CC52BA"/>
    <w:rsid w:val="00CD18E0"/>
    <w:rsid w:val="00CD27BB"/>
    <w:rsid w:val="00CD2B5D"/>
    <w:rsid w:val="00CD5337"/>
    <w:rsid w:val="00CD64DC"/>
    <w:rsid w:val="00CD6B28"/>
    <w:rsid w:val="00CD787F"/>
    <w:rsid w:val="00CE2FC7"/>
    <w:rsid w:val="00CE6151"/>
    <w:rsid w:val="00CF0287"/>
    <w:rsid w:val="00CF03F5"/>
    <w:rsid w:val="00CF0B01"/>
    <w:rsid w:val="00CF346D"/>
    <w:rsid w:val="00CF3BEC"/>
    <w:rsid w:val="00CF4D0A"/>
    <w:rsid w:val="00CF6113"/>
    <w:rsid w:val="00CF758A"/>
    <w:rsid w:val="00CF7A82"/>
    <w:rsid w:val="00D01BBE"/>
    <w:rsid w:val="00D04331"/>
    <w:rsid w:val="00D05583"/>
    <w:rsid w:val="00D07731"/>
    <w:rsid w:val="00D2058C"/>
    <w:rsid w:val="00D2639A"/>
    <w:rsid w:val="00D31911"/>
    <w:rsid w:val="00D3346D"/>
    <w:rsid w:val="00D42B87"/>
    <w:rsid w:val="00D46259"/>
    <w:rsid w:val="00D46C5F"/>
    <w:rsid w:val="00D51DDE"/>
    <w:rsid w:val="00D549B0"/>
    <w:rsid w:val="00D6040C"/>
    <w:rsid w:val="00D6244C"/>
    <w:rsid w:val="00D66D28"/>
    <w:rsid w:val="00D67356"/>
    <w:rsid w:val="00D73779"/>
    <w:rsid w:val="00D86C2F"/>
    <w:rsid w:val="00D8794A"/>
    <w:rsid w:val="00D9300E"/>
    <w:rsid w:val="00D94F61"/>
    <w:rsid w:val="00D95140"/>
    <w:rsid w:val="00D976E3"/>
    <w:rsid w:val="00DA68EE"/>
    <w:rsid w:val="00DB1D16"/>
    <w:rsid w:val="00DB361D"/>
    <w:rsid w:val="00DC1340"/>
    <w:rsid w:val="00DC6E02"/>
    <w:rsid w:val="00DC7352"/>
    <w:rsid w:val="00DD5791"/>
    <w:rsid w:val="00DD6534"/>
    <w:rsid w:val="00DD6A7D"/>
    <w:rsid w:val="00DD6BBA"/>
    <w:rsid w:val="00DE1332"/>
    <w:rsid w:val="00DE56A3"/>
    <w:rsid w:val="00DF280D"/>
    <w:rsid w:val="00DF55D7"/>
    <w:rsid w:val="00E044C9"/>
    <w:rsid w:val="00E05A49"/>
    <w:rsid w:val="00E06A31"/>
    <w:rsid w:val="00E12EFC"/>
    <w:rsid w:val="00E136C8"/>
    <w:rsid w:val="00E1733F"/>
    <w:rsid w:val="00E21765"/>
    <w:rsid w:val="00E25977"/>
    <w:rsid w:val="00E315AD"/>
    <w:rsid w:val="00E3792C"/>
    <w:rsid w:val="00E4490D"/>
    <w:rsid w:val="00E46C20"/>
    <w:rsid w:val="00E50788"/>
    <w:rsid w:val="00E52420"/>
    <w:rsid w:val="00E52CD8"/>
    <w:rsid w:val="00E54A60"/>
    <w:rsid w:val="00E5771C"/>
    <w:rsid w:val="00E6615B"/>
    <w:rsid w:val="00E671F6"/>
    <w:rsid w:val="00E702FB"/>
    <w:rsid w:val="00E73516"/>
    <w:rsid w:val="00E7397A"/>
    <w:rsid w:val="00E74F34"/>
    <w:rsid w:val="00E87657"/>
    <w:rsid w:val="00E95750"/>
    <w:rsid w:val="00E9686B"/>
    <w:rsid w:val="00EA3553"/>
    <w:rsid w:val="00EA4ACF"/>
    <w:rsid w:val="00EA4C54"/>
    <w:rsid w:val="00EA7CF7"/>
    <w:rsid w:val="00EB3E53"/>
    <w:rsid w:val="00EB56FC"/>
    <w:rsid w:val="00EC0215"/>
    <w:rsid w:val="00ED1306"/>
    <w:rsid w:val="00ED3C99"/>
    <w:rsid w:val="00ED43F7"/>
    <w:rsid w:val="00EE1D87"/>
    <w:rsid w:val="00EE2746"/>
    <w:rsid w:val="00EE7570"/>
    <w:rsid w:val="00EF0BF0"/>
    <w:rsid w:val="00F00421"/>
    <w:rsid w:val="00F01BCF"/>
    <w:rsid w:val="00F05623"/>
    <w:rsid w:val="00F106D7"/>
    <w:rsid w:val="00F21306"/>
    <w:rsid w:val="00F21EC2"/>
    <w:rsid w:val="00F23CF2"/>
    <w:rsid w:val="00F41D5D"/>
    <w:rsid w:val="00F55D39"/>
    <w:rsid w:val="00F57625"/>
    <w:rsid w:val="00F62036"/>
    <w:rsid w:val="00F6398B"/>
    <w:rsid w:val="00F63E99"/>
    <w:rsid w:val="00F644E7"/>
    <w:rsid w:val="00F72AB3"/>
    <w:rsid w:val="00F745B2"/>
    <w:rsid w:val="00F75E5E"/>
    <w:rsid w:val="00F80751"/>
    <w:rsid w:val="00F808C3"/>
    <w:rsid w:val="00F84A0F"/>
    <w:rsid w:val="00F87C60"/>
    <w:rsid w:val="00F87E8D"/>
    <w:rsid w:val="00F90DAF"/>
    <w:rsid w:val="00FA477C"/>
    <w:rsid w:val="00FB0EF4"/>
    <w:rsid w:val="00FB647A"/>
    <w:rsid w:val="00FC1698"/>
    <w:rsid w:val="00FC3C0E"/>
    <w:rsid w:val="00FD10CC"/>
    <w:rsid w:val="00FD1636"/>
    <w:rsid w:val="00FD66D5"/>
    <w:rsid w:val="00FE4A02"/>
    <w:rsid w:val="00FE772F"/>
    <w:rsid w:val="00FE7BBA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632"/>
  <w15:chartTrackingRefBased/>
  <w15:docId w15:val="{4BEE9111-128A-4B91-880E-3D48A65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8AF1-48C9-4C39-939D-892728C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6</cp:revision>
  <cp:lastPrinted>2020-09-28T20:14:00Z</cp:lastPrinted>
  <dcterms:created xsi:type="dcterms:W3CDTF">2020-11-27T20:01:00Z</dcterms:created>
  <dcterms:modified xsi:type="dcterms:W3CDTF">2020-11-28T19:26:00Z</dcterms:modified>
</cp:coreProperties>
</file>