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3EE90" w14:textId="3DD6973D" w:rsidR="005E0EBE" w:rsidRDefault="005E0EBE">
      <w:bookmarkStart w:id="0" w:name="_GoBack"/>
      <w:bookmarkEnd w:id="0"/>
      <w:r>
        <w:t>To: Corporations, Securities &amp; Financial Institutions Committee</w:t>
      </w:r>
      <w:r w:rsidR="00495B26">
        <w:t xml:space="preserve"> and </w:t>
      </w:r>
      <w:r w:rsidR="000E7CCA">
        <w:t xml:space="preserve">the </w:t>
      </w:r>
      <w:r w:rsidR="00495B26">
        <w:t>Business Law Section Executive Council</w:t>
      </w:r>
    </w:p>
    <w:p w14:paraId="4480C9A5" w14:textId="2C681CC2" w:rsidR="005E0EBE" w:rsidRDefault="005E0EBE">
      <w:r>
        <w:t>From: Chapter 517 Task Force</w:t>
      </w:r>
      <w:r w:rsidR="00B6470E">
        <w:t>, Stuart R. Cohn Chair</w:t>
      </w:r>
    </w:p>
    <w:p w14:paraId="4EB9A3EB" w14:textId="38AB7300" w:rsidR="005E0EBE" w:rsidRDefault="005E0EBE">
      <w:r>
        <w:t xml:space="preserve">Re: </w:t>
      </w:r>
      <w:r w:rsidR="00B6470E">
        <w:t xml:space="preserve">Recommendation </w:t>
      </w:r>
      <w:r>
        <w:t xml:space="preserve">to Support </w:t>
      </w:r>
      <w:r w:rsidR="00FB688A">
        <w:t xml:space="preserve">Florida’s </w:t>
      </w:r>
      <w:r>
        <w:t>Office of Financial Regulation</w:t>
      </w:r>
      <w:r w:rsidR="00CC3279" w:rsidRPr="00CC3279">
        <w:t xml:space="preserve"> </w:t>
      </w:r>
      <w:r w:rsidR="00CC3279">
        <w:t>Ch. 517 Reform Legislation</w:t>
      </w:r>
    </w:p>
    <w:p w14:paraId="1368A801" w14:textId="2DAB0A7C" w:rsidR="005E0EBE" w:rsidRDefault="005E0EBE">
      <w:r>
        <w:t>Date:</w:t>
      </w:r>
      <w:r w:rsidR="009A54F8">
        <w:t xml:space="preserve"> </w:t>
      </w:r>
      <w:r w:rsidR="00C17FF7">
        <w:t>August 4, 2021</w:t>
      </w:r>
    </w:p>
    <w:p w14:paraId="0EE18AB9" w14:textId="777EE7A2" w:rsidR="005E0EBE" w:rsidRPr="00836117" w:rsidRDefault="005E0EBE" w:rsidP="00836117">
      <w:pPr>
        <w:rPr>
          <w:b/>
          <w:bCs/>
        </w:rPr>
      </w:pPr>
      <w:r w:rsidRPr="00836117">
        <w:rPr>
          <w:b/>
          <w:bCs/>
          <w:u w:val="single"/>
        </w:rPr>
        <w:t>Background</w:t>
      </w:r>
      <w:r w:rsidRPr="00836117">
        <w:rPr>
          <w:b/>
          <w:bCs/>
        </w:rPr>
        <w:t>:</w:t>
      </w:r>
    </w:p>
    <w:p w14:paraId="160FDD5A" w14:textId="6372702B" w:rsidR="005E0EBE" w:rsidRDefault="00442964">
      <w:r>
        <w:t xml:space="preserve">Fl. Stat. </w:t>
      </w:r>
      <w:r w:rsidR="00F17AF8">
        <w:t>Ch</w:t>
      </w:r>
      <w:r>
        <w:t>.</w:t>
      </w:r>
      <w:r w:rsidR="00F17AF8">
        <w:t xml:space="preserve"> 517, </w:t>
      </w:r>
      <w:r w:rsidR="00FF2C0E">
        <w:t xml:space="preserve">the </w:t>
      </w:r>
      <w:r w:rsidR="005E0EBE">
        <w:t>Florida</w:t>
      </w:r>
      <w:r w:rsidR="00FF2C0E">
        <w:t xml:space="preserve"> Securities and Investor Protection Act</w:t>
      </w:r>
      <w:r>
        <w:t xml:space="preserve"> </w:t>
      </w:r>
      <w:r w:rsidR="0073703E">
        <w:t>(the “Act”)</w:t>
      </w:r>
      <w:r w:rsidR="00C17FF7">
        <w:t>,</w:t>
      </w:r>
      <w:r w:rsidR="0073703E">
        <w:t xml:space="preserve"> </w:t>
      </w:r>
      <w:r w:rsidR="00FF2C0E">
        <w:t xml:space="preserve">has remained substantially unchanged for many years despite major developments in federal securities laws and the </w:t>
      </w:r>
      <w:r>
        <w:t xml:space="preserve">modernization </w:t>
      </w:r>
      <w:r w:rsidR="00FF2C0E">
        <w:t xml:space="preserve">of </w:t>
      </w:r>
      <w:r>
        <w:t xml:space="preserve">securities </w:t>
      </w:r>
      <w:r w:rsidR="00FF2C0E">
        <w:t xml:space="preserve">laws in other states. As a result, Florida-based businesses do not have capital-raising opportunities </w:t>
      </w:r>
      <w:r>
        <w:t xml:space="preserve">that are </w:t>
      </w:r>
      <w:r w:rsidR="00FF2C0E">
        <w:t xml:space="preserve">available in other states. In addition, investor protection provisions </w:t>
      </w:r>
      <w:r>
        <w:t xml:space="preserve">in the Act </w:t>
      </w:r>
      <w:r w:rsidR="00FF2C0E">
        <w:t xml:space="preserve">need to be updated and improved. </w:t>
      </w:r>
      <w:r>
        <w:t>Recognizing these deficiencies, the</w:t>
      </w:r>
      <w:r w:rsidR="005E0EBE">
        <w:t xml:space="preserve"> </w:t>
      </w:r>
      <w:r w:rsidR="00FF2C0E">
        <w:t>C</w:t>
      </w:r>
      <w:r w:rsidR="00C17FF7">
        <w:t xml:space="preserve">orporations, Securities &amp; Financial Services committee of the Business Law Section </w:t>
      </w:r>
      <w:r>
        <w:t xml:space="preserve">formed several </w:t>
      </w:r>
      <w:r w:rsidR="005E0EBE">
        <w:t xml:space="preserve">task forces </w:t>
      </w:r>
      <w:r w:rsidR="00177EC1">
        <w:t xml:space="preserve">over the years </w:t>
      </w:r>
      <w:r w:rsidR="00FF2C0E">
        <w:t>to undertake reform efforts</w:t>
      </w:r>
      <w:r w:rsidR="00C17FF7">
        <w:t xml:space="preserve">., but </w:t>
      </w:r>
      <w:r>
        <w:t xml:space="preserve">their efforts </w:t>
      </w:r>
      <w:r w:rsidR="00FF2C0E">
        <w:t xml:space="preserve">were </w:t>
      </w:r>
      <w:r w:rsidR="005E0EBE">
        <w:t xml:space="preserve">stymied by </w:t>
      </w:r>
      <w:r>
        <w:t xml:space="preserve">the </w:t>
      </w:r>
      <w:r w:rsidR="0073703E">
        <w:t xml:space="preserve">Florida </w:t>
      </w:r>
      <w:r>
        <w:t>Division of Securities</w:t>
      </w:r>
      <w:r w:rsidR="0073703E">
        <w:t>’</w:t>
      </w:r>
      <w:r>
        <w:t xml:space="preserve"> </w:t>
      </w:r>
      <w:r w:rsidR="00883FB5">
        <w:t xml:space="preserve">benign neglect or </w:t>
      </w:r>
      <w:r w:rsidR="005E0EBE">
        <w:t xml:space="preserve">opposition to </w:t>
      </w:r>
      <w:r w:rsidR="008B3411">
        <w:t>reform proposals</w:t>
      </w:r>
      <w:r>
        <w:t xml:space="preserve">. </w:t>
      </w:r>
      <w:r w:rsidR="005E0EBE">
        <w:t xml:space="preserve"> </w:t>
      </w:r>
    </w:p>
    <w:p w14:paraId="16411D9C" w14:textId="4CD03CD0" w:rsidR="009F094E" w:rsidRDefault="005E0EBE">
      <w:r>
        <w:t xml:space="preserve">In April 2021, Russell Weigel, Commissioner of Florida’s Office of Financial Regulation (OFR), </w:t>
      </w:r>
      <w:r w:rsidR="00820E75">
        <w:t>in which the Division of Securities is l</w:t>
      </w:r>
      <w:r w:rsidR="004B0B36">
        <w:t xml:space="preserve">ocated, </w:t>
      </w:r>
      <w:r>
        <w:t xml:space="preserve">called </w:t>
      </w:r>
      <w:r w:rsidR="008B3411">
        <w:t>Stuart Cohn</w:t>
      </w:r>
      <w:r>
        <w:t xml:space="preserve"> to ask whether the Business Law Section would be interested in assisting </w:t>
      </w:r>
      <w:r w:rsidR="00FF2C0E">
        <w:t>OFR’s</w:t>
      </w:r>
      <w:r>
        <w:t xml:space="preserve"> effort to present proposed legislation that would materially reform Ch. 517.  </w:t>
      </w:r>
      <w:r w:rsidR="00645CF3">
        <w:t>The Commissioner</w:t>
      </w:r>
      <w:r w:rsidR="00D30F7A">
        <w:t xml:space="preserve">, who </w:t>
      </w:r>
      <w:r w:rsidR="00711747">
        <w:t>in his private life was</w:t>
      </w:r>
      <w:r w:rsidR="00D30F7A">
        <w:t xml:space="preserve"> an attorney practicing securities law,</w:t>
      </w:r>
      <w:r w:rsidR="00645CF3">
        <w:t xml:space="preserve"> is </w:t>
      </w:r>
      <w:r w:rsidR="00660E83">
        <w:t xml:space="preserve">aware of the shortcomings in Florida’s statute and is determined to </w:t>
      </w:r>
      <w:r w:rsidR="00B77702">
        <w:t>pre</w:t>
      </w:r>
      <w:r w:rsidR="00F508DF">
        <w:t>s</w:t>
      </w:r>
      <w:r w:rsidR="00B77702">
        <w:t>ent reform proposals</w:t>
      </w:r>
      <w:r w:rsidR="00760007">
        <w:t>. A</w:t>
      </w:r>
      <w:r w:rsidR="00B77702">
        <w:t xml:space="preserve"> </w:t>
      </w:r>
      <w:r w:rsidR="00442964">
        <w:t xml:space="preserve">proposed bill offered by the OFR </w:t>
      </w:r>
      <w:r w:rsidR="00B77702">
        <w:t xml:space="preserve">in the </w:t>
      </w:r>
      <w:r w:rsidR="00F508DF">
        <w:t>prior legislative session failed</w:t>
      </w:r>
      <w:r w:rsidR="005E47E1">
        <w:t xml:space="preserve"> at the staff level</w:t>
      </w:r>
      <w:r w:rsidR="00760007">
        <w:t xml:space="preserve">, as the proposal was not sufficiently </w:t>
      </w:r>
      <w:r w:rsidR="00442964">
        <w:t xml:space="preserve">clarified and </w:t>
      </w:r>
      <w:r w:rsidR="009F094E">
        <w:t>documented.</w:t>
      </w:r>
    </w:p>
    <w:p w14:paraId="188A6185" w14:textId="66C5AE5D" w:rsidR="005E0EBE" w:rsidRDefault="009F094E">
      <w:r>
        <w:t xml:space="preserve">Following up on the Commissioner’s request, </w:t>
      </w:r>
      <w:r w:rsidR="00027BDB">
        <w:t>at</w:t>
      </w:r>
      <w:r w:rsidR="005E0EBE">
        <w:t xml:space="preserve"> the June meeting of the C,S &amp; FI Committee </w:t>
      </w:r>
      <w:r w:rsidR="00027BDB">
        <w:t>there was</w:t>
      </w:r>
      <w:r w:rsidR="005E0EBE">
        <w:t xml:space="preserve"> proposed the formation of a </w:t>
      </w:r>
      <w:r w:rsidR="00442964">
        <w:t xml:space="preserve">Ch. 517 </w:t>
      </w:r>
      <w:r w:rsidR="005E0EBE">
        <w:t>Task Force for th</w:t>
      </w:r>
      <w:r w:rsidR="00F508DF">
        <w:t>e</w:t>
      </w:r>
      <w:r w:rsidR="005E0EBE">
        <w:t xml:space="preserve"> purpose</w:t>
      </w:r>
      <w:r w:rsidR="00F508DF">
        <w:t xml:space="preserve"> of assisting the OFR in its development of reform legislation</w:t>
      </w:r>
      <w:r w:rsidR="004C7956">
        <w:t xml:space="preserve">. The proposal </w:t>
      </w:r>
      <w:r w:rsidR="005E0EBE">
        <w:t xml:space="preserve">was approved by the Committee and </w:t>
      </w:r>
      <w:r w:rsidR="00664951">
        <w:t>subsequently by</w:t>
      </w:r>
      <w:r w:rsidR="004C7956">
        <w:t xml:space="preserve"> the </w:t>
      </w:r>
      <w:r w:rsidR="00AA0432">
        <w:t xml:space="preserve">Business Law Section </w:t>
      </w:r>
      <w:r w:rsidR="005E0EBE">
        <w:t>Executive Council.</w:t>
      </w:r>
      <w:r w:rsidR="00690068">
        <w:t xml:space="preserve"> </w:t>
      </w:r>
    </w:p>
    <w:p w14:paraId="7074D041" w14:textId="7DEF7F34" w:rsidR="00C9666D" w:rsidRDefault="00013918">
      <w:r>
        <w:t xml:space="preserve">The </w:t>
      </w:r>
      <w:r w:rsidR="00B82C5A">
        <w:t xml:space="preserve">Task Force </w:t>
      </w:r>
      <w:r>
        <w:t xml:space="preserve">members are listed </w:t>
      </w:r>
      <w:r w:rsidR="00B82C5A">
        <w:t xml:space="preserve">below. </w:t>
      </w:r>
      <w:r>
        <w:t xml:space="preserve">In addition, we have had the </w:t>
      </w:r>
      <w:r w:rsidR="003A5BD3">
        <w:t xml:space="preserve">able </w:t>
      </w:r>
      <w:r>
        <w:t xml:space="preserve">assistance of two BLS Fellows, </w:t>
      </w:r>
      <w:r w:rsidR="00690068">
        <w:t>Chemere Ellis and Katherine Van</w:t>
      </w:r>
      <w:r w:rsidR="00613ACA">
        <w:t xml:space="preserve"> </w:t>
      </w:r>
      <w:r w:rsidR="00F24A1D">
        <w:t>de Bogart</w:t>
      </w:r>
      <w:r w:rsidR="00613ACA">
        <w:t>. The Task Force met numerous times with the Commissioner and his staff through internet meetings</w:t>
      </w:r>
      <w:r w:rsidR="003538FC">
        <w:t xml:space="preserve">, </w:t>
      </w:r>
      <w:r w:rsidR="004501A0">
        <w:t xml:space="preserve">obtained </w:t>
      </w:r>
      <w:r w:rsidR="003538FC">
        <w:t xml:space="preserve">drafts </w:t>
      </w:r>
      <w:r w:rsidR="004501A0">
        <w:t xml:space="preserve">and redrafts </w:t>
      </w:r>
      <w:r w:rsidR="003538FC">
        <w:t>of OFR’s proposed legislation</w:t>
      </w:r>
      <w:r w:rsidR="004501A0">
        <w:t xml:space="preserve">, </w:t>
      </w:r>
      <w:r w:rsidR="004B7FC6">
        <w:t xml:space="preserve">examined provisions in other states, </w:t>
      </w:r>
      <w:r w:rsidR="0066538A">
        <w:t xml:space="preserve">exchanged emails </w:t>
      </w:r>
      <w:r w:rsidR="00F01090">
        <w:t xml:space="preserve">and proposed revisions, </w:t>
      </w:r>
      <w:r w:rsidR="0066538A">
        <w:t>an</w:t>
      </w:r>
      <w:r w:rsidR="004501A0">
        <w:t xml:space="preserve">d discussed at length the </w:t>
      </w:r>
      <w:r w:rsidR="00F01090">
        <w:t xml:space="preserve">various reform </w:t>
      </w:r>
      <w:r w:rsidR="004501A0">
        <w:t>proposals</w:t>
      </w:r>
      <w:r w:rsidR="00F01090">
        <w:t xml:space="preserve">. </w:t>
      </w:r>
      <w:r w:rsidR="004501A0">
        <w:t xml:space="preserve"> </w:t>
      </w:r>
    </w:p>
    <w:p w14:paraId="6E00C795" w14:textId="09281D57" w:rsidR="00333473" w:rsidRDefault="004C7956">
      <w:r>
        <w:t>As a result</w:t>
      </w:r>
      <w:r w:rsidR="004F17D1">
        <w:t xml:space="preserve"> of the joint efforts by the Task Force and OFR, </w:t>
      </w:r>
      <w:r w:rsidR="00FD3A29">
        <w:t xml:space="preserve">the OFR has a </w:t>
      </w:r>
      <w:r w:rsidR="00CF7B11">
        <w:t xml:space="preserve">proposed bill that contains numerous </w:t>
      </w:r>
      <w:r w:rsidR="00D4709C">
        <w:t xml:space="preserve">important </w:t>
      </w:r>
      <w:r w:rsidR="00CF7B11">
        <w:t>reform measures</w:t>
      </w:r>
      <w:r w:rsidR="00442964">
        <w:t xml:space="preserve">. </w:t>
      </w:r>
      <w:r w:rsidR="00CF7B11">
        <w:t xml:space="preserve">While there remain additional measures that may be considered for future adoption, the Task Force believes that the OFR’s proposed legislation materially improves </w:t>
      </w:r>
      <w:r w:rsidR="00333473">
        <w:t xml:space="preserve">Florida’s </w:t>
      </w:r>
      <w:r w:rsidR="00C17FF7">
        <w:t xml:space="preserve">securities </w:t>
      </w:r>
      <w:r w:rsidR="00451DF7">
        <w:t>Act</w:t>
      </w:r>
      <w:r w:rsidR="00F01090">
        <w:t>, creates needed capital-raising opportunities for Florida-based businesses,</w:t>
      </w:r>
      <w:r w:rsidR="000D61A3">
        <w:t xml:space="preserve"> and</w:t>
      </w:r>
      <w:r w:rsidR="00F01090">
        <w:t xml:space="preserve"> streng</w:t>
      </w:r>
      <w:r w:rsidR="000D61A3">
        <w:t xml:space="preserve">thens investor protection measures. The Task Force </w:t>
      </w:r>
      <w:r w:rsidR="0073703E">
        <w:t xml:space="preserve">has considered and approved </w:t>
      </w:r>
      <w:r w:rsidR="0022707D">
        <w:t xml:space="preserve">the OFR proposed bill </w:t>
      </w:r>
      <w:r w:rsidR="0073703E">
        <w:t xml:space="preserve">and recommends that the bill </w:t>
      </w:r>
      <w:r w:rsidR="0022707D">
        <w:t>be supported</w:t>
      </w:r>
      <w:r w:rsidR="00333473">
        <w:t xml:space="preserve"> by the Business Law Section.</w:t>
      </w:r>
      <w:r w:rsidR="00683080">
        <w:t xml:space="preserve"> The proposed legislation </w:t>
      </w:r>
      <w:r w:rsidR="0073703E">
        <w:t xml:space="preserve">amending the Act </w:t>
      </w:r>
      <w:r w:rsidR="00683080">
        <w:t>is attached to this memorandum.</w:t>
      </w:r>
    </w:p>
    <w:p w14:paraId="7E393558" w14:textId="7BB37882" w:rsidR="00855881" w:rsidRPr="00836117" w:rsidRDefault="00855881">
      <w:pPr>
        <w:rPr>
          <w:b/>
          <w:bCs/>
          <w:u w:val="single"/>
        </w:rPr>
      </w:pPr>
      <w:r w:rsidRPr="00836117">
        <w:rPr>
          <w:b/>
          <w:bCs/>
          <w:u w:val="single"/>
        </w:rPr>
        <w:t>List of Principal Reform Measures</w:t>
      </w:r>
    </w:p>
    <w:p w14:paraId="74DCA52F" w14:textId="3E95BBAB" w:rsidR="00855881" w:rsidRDefault="00855881">
      <w:r>
        <w:lastRenderedPageBreak/>
        <w:t>The principal reform measures</w:t>
      </w:r>
      <w:r w:rsidR="00465C06">
        <w:t xml:space="preserve"> of the OFR bill</w:t>
      </w:r>
      <w:r>
        <w:t xml:space="preserve">, </w:t>
      </w:r>
      <w:r w:rsidR="00A474E2">
        <w:t>discussed</w:t>
      </w:r>
      <w:r>
        <w:t xml:space="preserve"> in detail below, are:</w:t>
      </w:r>
    </w:p>
    <w:p w14:paraId="114D6E0F" w14:textId="5EEAA480" w:rsidR="00465C06" w:rsidRDefault="00465C06" w:rsidP="00305AD5">
      <w:pPr>
        <w:pStyle w:val="ListParagraph"/>
        <w:numPr>
          <w:ilvl w:val="0"/>
          <w:numId w:val="9"/>
        </w:numPr>
      </w:pPr>
      <w:r w:rsidRPr="00305AD5">
        <w:rPr>
          <w:b/>
          <w:bCs/>
        </w:rPr>
        <w:t>Registration Exemptions</w:t>
      </w:r>
      <w:r>
        <w:t>:</w:t>
      </w:r>
    </w:p>
    <w:p w14:paraId="22AA66B6" w14:textId="7A61D44B" w:rsidR="00465C06" w:rsidRDefault="00465C06" w:rsidP="00465C06">
      <w:pPr>
        <w:pStyle w:val="ListParagraph"/>
        <w:numPr>
          <w:ilvl w:val="0"/>
          <w:numId w:val="3"/>
        </w:numPr>
      </w:pPr>
      <w:r>
        <w:t>Substantial</w:t>
      </w:r>
      <w:r w:rsidR="0073703E">
        <w:t xml:space="preserve">ly </w:t>
      </w:r>
      <w:r>
        <w:t>revis</w:t>
      </w:r>
      <w:r w:rsidR="0073703E">
        <w:t>es</w:t>
      </w:r>
      <w:r>
        <w:t xml:space="preserve"> the intrastate crowdfunding exemption</w:t>
      </w:r>
      <w:r w:rsidR="008C268A">
        <w:t xml:space="preserve">. </w:t>
      </w:r>
    </w:p>
    <w:p w14:paraId="1AE706B6" w14:textId="77ADACF2" w:rsidR="008C268A" w:rsidRDefault="009852D8" w:rsidP="00465C06">
      <w:pPr>
        <w:pStyle w:val="ListParagraph"/>
        <w:numPr>
          <w:ilvl w:val="0"/>
          <w:numId w:val="3"/>
        </w:numPr>
      </w:pPr>
      <w:r>
        <w:t>Adopt</w:t>
      </w:r>
      <w:r w:rsidR="0073703E">
        <w:t>s</w:t>
      </w:r>
      <w:r>
        <w:t xml:space="preserve"> an </w:t>
      </w:r>
      <w:r w:rsidR="008C268A">
        <w:t>Accredited Investor exemption.</w:t>
      </w:r>
    </w:p>
    <w:p w14:paraId="6B056741" w14:textId="6372E98B" w:rsidR="00E3447D" w:rsidRDefault="00E3447D" w:rsidP="00E3447D">
      <w:pPr>
        <w:pStyle w:val="ListParagraph"/>
        <w:numPr>
          <w:ilvl w:val="0"/>
          <w:numId w:val="3"/>
        </w:numPr>
      </w:pPr>
      <w:r>
        <w:t>Amend</w:t>
      </w:r>
      <w:r w:rsidR="0073703E">
        <w:t>s the</w:t>
      </w:r>
      <w:r>
        <w:t xml:space="preserve"> current limited offering exemption in Ch. 517.061(11)</w:t>
      </w:r>
    </w:p>
    <w:p w14:paraId="28E5F2C7" w14:textId="77777777" w:rsidR="00E3447D" w:rsidRDefault="00E3447D" w:rsidP="00E3447D">
      <w:pPr>
        <w:pStyle w:val="ListParagraph"/>
      </w:pPr>
    </w:p>
    <w:p w14:paraId="34E114AE" w14:textId="3728B80B" w:rsidR="00091DDF" w:rsidRDefault="00091DDF" w:rsidP="00305AD5">
      <w:pPr>
        <w:pStyle w:val="ListParagraph"/>
        <w:numPr>
          <w:ilvl w:val="0"/>
          <w:numId w:val="9"/>
        </w:numPr>
      </w:pPr>
      <w:r w:rsidRPr="00305AD5">
        <w:rPr>
          <w:b/>
          <w:bCs/>
        </w:rPr>
        <w:t>Registration of Securities</w:t>
      </w:r>
      <w:r>
        <w:t>:</w:t>
      </w:r>
    </w:p>
    <w:p w14:paraId="45B7214D" w14:textId="5576DEA7" w:rsidR="00091DDF" w:rsidRDefault="00091DDF" w:rsidP="00091DDF">
      <w:pPr>
        <w:pStyle w:val="ListParagraph"/>
        <w:numPr>
          <w:ilvl w:val="0"/>
          <w:numId w:val="4"/>
        </w:numPr>
      </w:pPr>
      <w:r>
        <w:t>Allows for coordin</w:t>
      </w:r>
      <w:r w:rsidR="001C3549">
        <w:t xml:space="preserve">ated </w:t>
      </w:r>
      <w:r w:rsidR="00532DC3">
        <w:t>review</w:t>
      </w:r>
      <w:r>
        <w:t xml:space="preserve"> with</w:t>
      </w:r>
      <w:r w:rsidR="00BD6F44">
        <w:t xml:space="preserve"> other states</w:t>
      </w:r>
      <w:r w:rsidR="00532DC3">
        <w:t xml:space="preserve"> of </w:t>
      </w:r>
      <w:r w:rsidR="00036117">
        <w:t>federally registered</w:t>
      </w:r>
      <w:r w:rsidR="00532DC3">
        <w:t xml:space="preserve"> offerings</w:t>
      </w:r>
      <w:r w:rsidR="00BD6F44">
        <w:t>.</w:t>
      </w:r>
    </w:p>
    <w:p w14:paraId="17451858" w14:textId="06671F80" w:rsidR="00BD6F44" w:rsidRDefault="00BD6F44" w:rsidP="00091DDF">
      <w:pPr>
        <w:pStyle w:val="ListParagraph"/>
        <w:numPr>
          <w:ilvl w:val="0"/>
          <w:numId w:val="4"/>
        </w:numPr>
      </w:pPr>
      <w:r>
        <w:t xml:space="preserve">Eliminates </w:t>
      </w:r>
      <w:r w:rsidR="00532DC3">
        <w:t xml:space="preserve">the </w:t>
      </w:r>
      <w:r w:rsidR="00FF2C0E">
        <w:t xml:space="preserve">ambiguous </w:t>
      </w:r>
      <w:r>
        <w:t>“fair, just and equitable” merit review standard</w:t>
      </w:r>
      <w:r w:rsidR="00FF2C0E">
        <w:t xml:space="preserve"> while maintaining substantive disclosure and qualification requirements. </w:t>
      </w:r>
    </w:p>
    <w:p w14:paraId="7409C3DF" w14:textId="734B4167" w:rsidR="00BD6F44" w:rsidRDefault="00BD6F44" w:rsidP="00091DDF">
      <w:pPr>
        <w:pStyle w:val="ListParagraph"/>
        <w:numPr>
          <w:ilvl w:val="0"/>
          <w:numId w:val="4"/>
        </w:numPr>
      </w:pPr>
      <w:r>
        <w:t xml:space="preserve">Allows </w:t>
      </w:r>
      <w:r w:rsidR="00C17FF7">
        <w:t>the</w:t>
      </w:r>
      <w:r>
        <w:t xml:space="preserve"> issuer to “test the waters” </w:t>
      </w:r>
      <w:r w:rsidR="00A137EB">
        <w:t xml:space="preserve">and engage in “demo day” presentations </w:t>
      </w:r>
      <w:r w:rsidR="00FF2C0E">
        <w:t xml:space="preserve">to prospective investors. </w:t>
      </w:r>
    </w:p>
    <w:p w14:paraId="7553D565" w14:textId="77777777" w:rsidR="006C7466" w:rsidRDefault="006C7466" w:rsidP="006C7466">
      <w:pPr>
        <w:pStyle w:val="ListParagraph"/>
      </w:pPr>
    </w:p>
    <w:p w14:paraId="680A20C1" w14:textId="3F02C69F" w:rsidR="00464C21" w:rsidRDefault="00F741B0" w:rsidP="00305AD5">
      <w:pPr>
        <w:pStyle w:val="ListParagraph"/>
        <w:numPr>
          <w:ilvl w:val="0"/>
          <w:numId w:val="9"/>
        </w:numPr>
      </w:pPr>
      <w:r w:rsidRPr="00305AD5">
        <w:rPr>
          <w:b/>
          <w:bCs/>
        </w:rPr>
        <w:t xml:space="preserve">Registration of </w:t>
      </w:r>
      <w:r w:rsidR="00464C21" w:rsidRPr="00305AD5">
        <w:rPr>
          <w:b/>
          <w:bCs/>
        </w:rPr>
        <w:t>Finders</w:t>
      </w:r>
      <w:r w:rsidR="00903421">
        <w:t xml:space="preserve">: </w:t>
      </w:r>
      <w:r w:rsidR="00464C21">
        <w:t xml:space="preserve">Defines and provides for </w:t>
      </w:r>
      <w:r w:rsidR="00036117">
        <w:t>licensing</w:t>
      </w:r>
      <w:r w:rsidR="00464C21">
        <w:t xml:space="preserve"> of “</w:t>
      </w:r>
      <w:r w:rsidR="00C8739E">
        <w:t>F</w:t>
      </w:r>
      <w:r w:rsidR="00464C21">
        <w:t>inders”</w:t>
      </w:r>
      <w:r w:rsidR="00036117">
        <w:t>.</w:t>
      </w:r>
    </w:p>
    <w:p w14:paraId="10A34D37" w14:textId="77777777" w:rsidR="006C7466" w:rsidRDefault="006C7466" w:rsidP="006C7466">
      <w:pPr>
        <w:pStyle w:val="ListParagraph"/>
      </w:pPr>
    </w:p>
    <w:p w14:paraId="14D4C41E" w14:textId="63D5DF97" w:rsidR="00464C21" w:rsidRDefault="00903421" w:rsidP="00845D94">
      <w:pPr>
        <w:pStyle w:val="ListParagraph"/>
        <w:numPr>
          <w:ilvl w:val="0"/>
          <w:numId w:val="9"/>
        </w:numPr>
      </w:pPr>
      <w:r w:rsidRPr="00845D94">
        <w:rPr>
          <w:b/>
          <w:bCs/>
        </w:rPr>
        <w:t>Notice Filing</w:t>
      </w:r>
      <w:r>
        <w:t xml:space="preserve">: Provides for Notice Filing </w:t>
      </w:r>
      <w:r w:rsidR="00C8739E">
        <w:t xml:space="preserve">in Florida </w:t>
      </w:r>
      <w:r>
        <w:t xml:space="preserve">of </w:t>
      </w:r>
      <w:r w:rsidR="009603A5">
        <w:t xml:space="preserve">certain </w:t>
      </w:r>
      <w:r>
        <w:t>feder</w:t>
      </w:r>
      <w:r w:rsidR="00DD2BA8">
        <w:t>ally exempt offerings.</w:t>
      </w:r>
    </w:p>
    <w:p w14:paraId="674B0997" w14:textId="77777777" w:rsidR="006C7466" w:rsidRDefault="006C7466" w:rsidP="006C7466">
      <w:pPr>
        <w:pStyle w:val="ListParagraph"/>
      </w:pPr>
    </w:p>
    <w:p w14:paraId="41598D3B" w14:textId="6D118D62" w:rsidR="00DD2BA8" w:rsidRDefault="00DD2BA8" w:rsidP="00845D94">
      <w:pPr>
        <w:pStyle w:val="ListParagraph"/>
        <w:numPr>
          <w:ilvl w:val="0"/>
          <w:numId w:val="9"/>
        </w:numPr>
      </w:pPr>
      <w:r w:rsidRPr="00676901">
        <w:rPr>
          <w:b/>
          <w:bCs/>
        </w:rPr>
        <w:t>Enforcement</w:t>
      </w:r>
      <w:r w:rsidR="00676901" w:rsidRPr="00676901">
        <w:rPr>
          <w:b/>
          <w:bCs/>
        </w:rPr>
        <w:t xml:space="preserve"> Provisions</w:t>
      </w:r>
      <w:r w:rsidR="00676901">
        <w:t>:</w:t>
      </w:r>
    </w:p>
    <w:p w14:paraId="2966DE55" w14:textId="45E9E305" w:rsidR="00DD2BA8" w:rsidRDefault="00534CD7" w:rsidP="00DD2BA8">
      <w:pPr>
        <w:pStyle w:val="ListParagraph"/>
        <w:numPr>
          <w:ilvl w:val="0"/>
          <w:numId w:val="6"/>
        </w:numPr>
      </w:pPr>
      <w:r>
        <w:t>A</w:t>
      </w:r>
      <w:r w:rsidR="00DD2BA8">
        <w:t>dds control person liability</w:t>
      </w:r>
      <w:r w:rsidR="00237401">
        <w:t xml:space="preserve"> for </w:t>
      </w:r>
      <w:r w:rsidR="00FF2C0E">
        <w:t xml:space="preserve">OFR </w:t>
      </w:r>
      <w:r w:rsidR="00237401">
        <w:t>enforcement actions.</w:t>
      </w:r>
    </w:p>
    <w:p w14:paraId="586B2D1B" w14:textId="3D4E12AB" w:rsidR="00534CD7" w:rsidRDefault="00534CD7" w:rsidP="00DD2BA8">
      <w:pPr>
        <w:pStyle w:val="ListParagraph"/>
        <w:numPr>
          <w:ilvl w:val="0"/>
          <w:numId w:val="6"/>
        </w:numPr>
      </w:pPr>
      <w:r>
        <w:t xml:space="preserve">Adds aider and abettor liability for </w:t>
      </w:r>
      <w:r w:rsidR="00FF2C0E">
        <w:t xml:space="preserve">OFR </w:t>
      </w:r>
      <w:r>
        <w:t>enforcement actions.</w:t>
      </w:r>
    </w:p>
    <w:p w14:paraId="0F484014" w14:textId="17860AE4" w:rsidR="00237401" w:rsidRDefault="00237401" w:rsidP="00DD2BA8">
      <w:pPr>
        <w:pStyle w:val="ListParagraph"/>
        <w:numPr>
          <w:ilvl w:val="0"/>
          <w:numId w:val="6"/>
        </w:numPr>
      </w:pPr>
      <w:r>
        <w:t xml:space="preserve">Allows </w:t>
      </w:r>
      <w:r w:rsidR="00534CD7">
        <w:t>the</w:t>
      </w:r>
      <w:r>
        <w:t xml:space="preserve"> </w:t>
      </w:r>
      <w:r w:rsidR="00FF2C0E">
        <w:t xml:space="preserve">OFR </w:t>
      </w:r>
      <w:r>
        <w:t xml:space="preserve">to recover </w:t>
      </w:r>
      <w:r w:rsidR="00534CD7">
        <w:t xml:space="preserve">costs and </w:t>
      </w:r>
      <w:r>
        <w:t>attorney’s fees</w:t>
      </w:r>
      <w:r w:rsidR="00534CD7">
        <w:t xml:space="preserve"> in enforcement actions.</w:t>
      </w:r>
    </w:p>
    <w:p w14:paraId="49BFEEB1" w14:textId="77777777" w:rsidR="006C7466" w:rsidRDefault="006C7466" w:rsidP="006C7466">
      <w:pPr>
        <w:pStyle w:val="ListParagraph"/>
      </w:pPr>
    </w:p>
    <w:p w14:paraId="139ADD71" w14:textId="2096AEC0" w:rsidR="001D76AD" w:rsidRPr="001E0098" w:rsidRDefault="001D76AD" w:rsidP="001D76AD">
      <w:pPr>
        <w:pStyle w:val="ListParagraph"/>
        <w:numPr>
          <w:ilvl w:val="0"/>
          <w:numId w:val="9"/>
        </w:numPr>
        <w:rPr>
          <w:b/>
          <w:bCs/>
        </w:rPr>
      </w:pPr>
      <w:r w:rsidRPr="001E0098">
        <w:rPr>
          <w:b/>
          <w:bCs/>
        </w:rPr>
        <w:t>Definition Amendments</w:t>
      </w:r>
      <w:r w:rsidR="00C8739E">
        <w:rPr>
          <w:b/>
          <w:bCs/>
        </w:rPr>
        <w:t xml:space="preserve">: </w:t>
      </w:r>
      <w:r w:rsidR="00C8739E">
        <w:t>Adds to and clarifies</w:t>
      </w:r>
      <w:r w:rsidR="004A6030">
        <w:t xml:space="preserve"> existing definitions of terms used in the </w:t>
      </w:r>
      <w:r w:rsidR="009631E2">
        <w:t>Act.</w:t>
      </w:r>
    </w:p>
    <w:p w14:paraId="00EC6AB3" w14:textId="7C82B49E" w:rsidR="004C7956" w:rsidRDefault="00237401">
      <w:pPr>
        <w:rPr>
          <w:b/>
          <w:bCs/>
          <w:u w:val="single"/>
        </w:rPr>
      </w:pPr>
      <w:r w:rsidRPr="00836117">
        <w:rPr>
          <w:b/>
          <w:bCs/>
          <w:u w:val="single"/>
        </w:rPr>
        <w:t>Description of</w:t>
      </w:r>
      <w:r w:rsidR="008D36E7" w:rsidRPr="00836117">
        <w:rPr>
          <w:b/>
          <w:bCs/>
          <w:u w:val="single"/>
        </w:rPr>
        <w:t xml:space="preserve"> Reform Measures</w:t>
      </w:r>
    </w:p>
    <w:p w14:paraId="60F3F34B" w14:textId="622BA221" w:rsidR="00C132BA" w:rsidRPr="00836117" w:rsidRDefault="000F638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(A) </w:t>
      </w:r>
      <w:r w:rsidR="00C132BA">
        <w:rPr>
          <w:b/>
          <w:bCs/>
          <w:u w:val="single"/>
        </w:rPr>
        <w:t>Registration Exemptions</w:t>
      </w:r>
    </w:p>
    <w:p w14:paraId="679B2BAF" w14:textId="7647F47B" w:rsidR="008D36E7" w:rsidRDefault="009A1046" w:rsidP="009A1046">
      <w:pPr>
        <w:rPr>
          <w:b/>
          <w:bCs/>
        </w:rPr>
      </w:pPr>
      <w:r>
        <w:rPr>
          <w:b/>
          <w:bCs/>
        </w:rPr>
        <w:t xml:space="preserve">1.Reform of </w:t>
      </w:r>
      <w:r w:rsidR="00AA0282">
        <w:rPr>
          <w:b/>
          <w:bCs/>
        </w:rPr>
        <w:t xml:space="preserve">the </w:t>
      </w:r>
      <w:r>
        <w:rPr>
          <w:b/>
          <w:bCs/>
        </w:rPr>
        <w:t>Crowdfunding Exemption</w:t>
      </w:r>
      <w:r w:rsidR="00AE22A7">
        <w:rPr>
          <w:b/>
          <w:bCs/>
        </w:rPr>
        <w:t xml:space="preserve">   </w:t>
      </w:r>
      <w:r w:rsidR="00AE22A7" w:rsidRPr="006D733B">
        <w:rPr>
          <w:b/>
          <w:bCs/>
        </w:rPr>
        <w:t>(s</w:t>
      </w:r>
      <w:r w:rsidR="006D733B" w:rsidRPr="006D733B">
        <w:rPr>
          <w:b/>
          <w:bCs/>
        </w:rPr>
        <w:t>.</w:t>
      </w:r>
      <w:r w:rsidR="00AE22A7" w:rsidRPr="006D733B">
        <w:rPr>
          <w:b/>
          <w:bCs/>
        </w:rPr>
        <w:t xml:space="preserve"> 517.0611)</w:t>
      </w:r>
      <w:r w:rsidR="00C03B05">
        <w:rPr>
          <w:b/>
          <w:bCs/>
        </w:rPr>
        <w:t xml:space="preserve"> </w:t>
      </w:r>
    </w:p>
    <w:p w14:paraId="417AF969" w14:textId="58FC3A23" w:rsidR="00A30EF1" w:rsidRPr="00C2440B" w:rsidRDefault="00A30EF1" w:rsidP="009A1046">
      <w:r w:rsidRPr="00C2440B">
        <w:t xml:space="preserve">Section </w:t>
      </w:r>
      <w:r w:rsidR="00C2440B">
        <w:t xml:space="preserve">5 of the 1933 Securities Act requires that all offerings of securities be federally registered unless an exemption from registration exists. </w:t>
      </w:r>
      <w:r w:rsidR="009852D8">
        <w:t xml:space="preserve">Section 5 applies to any offering that utilizes an instrument of interstate commerce and has no minimum or de minimis exceptions. Smaller companies and start-ups cannot afford the time and expense of registered offerings and therefore must look to exemptions for capital-raising purposes. The exemption </w:t>
      </w:r>
      <w:r w:rsidR="00036117">
        <w:t>most used</w:t>
      </w:r>
      <w:r w:rsidR="009852D8">
        <w:t xml:space="preserve"> is SEC Rule 506(b), </w:t>
      </w:r>
      <w:r w:rsidR="00036117">
        <w:t xml:space="preserve">a private offering exemption </w:t>
      </w:r>
      <w:r w:rsidR="009631E2">
        <w:t>that forbids</w:t>
      </w:r>
      <w:r w:rsidR="009852D8">
        <w:t xml:space="preserve"> general advertising and solicitation of the offering and limits the number of non-accredited investor purchasers. Smaller companies often do not have the capacity to </w:t>
      </w:r>
      <w:r w:rsidR="009631E2">
        <w:t>comply with</w:t>
      </w:r>
      <w:r w:rsidR="009852D8">
        <w:t xml:space="preserve"> the limitations of Rule 506(b). A companion exemption, Rule 506(c), allows for general advertising and solicitation but </w:t>
      </w:r>
      <w:r w:rsidR="00036117">
        <w:t xml:space="preserve">purchasers are </w:t>
      </w:r>
      <w:r w:rsidR="009852D8">
        <w:t>limited to accredited investors.</w:t>
      </w:r>
    </w:p>
    <w:p w14:paraId="6E093026" w14:textId="496ECC24" w:rsidR="00CB3D46" w:rsidRPr="00953137" w:rsidRDefault="00036117" w:rsidP="009A1046">
      <w:r>
        <w:t>In response to the concern that smaller companies and start-ups need a more workable exemption from registration, a</w:t>
      </w:r>
      <w:r w:rsidR="00953137">
        <w:t xml:space="preserve"> federal exemption was adopted in 2015 </w:t>
      </w:r>
      <w:r w:rsidR="001B0AD9">
        <w:t xml:space="preserve">for </w:t>
      </w:r>
      <w:r w:rsidR="0092725E">
        <w:t>internet-based</w:t>
      </w:r>
      <w:r w:rsidR="001B0AD9">
        <w:t xml:space="preserve"> crowdfunding </w:t>
      </w:r>
      <w:r w:rsidR="00F363B7">
        <w:t>offerings</w:t>
      </w:r>
      <w:r w:rsidR="001B0AD9">
        <w:t xml:space="preserve">. </w:t>
      </w:r>
      <w:r w:rsidR="00421658">
        <w:t xml:space="preserve">The exemption grew out of the internet crowdfunding phenomenon and </w:t>
      </w:r>
      <w:r w:rsidR="00402DFA">
        <w:t>is</w:t>
      </w:r>
      <w:r w:rsidR="00421658">
        <w:t xml:space="preserve"> therefore referred to as the crowdfunding exemption. </w:t>
      </w:r>
      <w:r w:rsidR="001B0AD9">
        <w:t>Although the exemption</w:t>
      </w:r>
      <w:r w:rsidR="00E859E0">
        <w:t xml:space="preserve">, set forth at 17 C.F.R. </w:t>
      </w:r>
      <w:r w:rsidR="001B0AD9">
        <w:t xml:space="preserve"> </w:t>
      </w:r>
      <w:r w:rsidR="00C03B05">
        <w:t xml:space="preserve">227.100 to 227.503, </w:t>
      </w:r>
      <w:r w:rsidR="006C2B5C">
        <w:t xml:space="preserve">provides for federal preemption of state registration laws, the federal </w:t>
      </w:r>
      <w:r>
        <w:t xml:space="preserve">crowdfunding </w:t>
      </w:r>
      <w:r w:rsidR="006C2B5C">
        <w:t xml:space="preserve">exemption is so </w:t>
      </w:r>
      <w:r w:rsidR="002E64C8">
        <w:t xml:space="preserve">replete with </w:t>
      </w:r>
      <w:r w:rsidR="002E64C8">
        <w:lastRenderedPageBreak/>
        <w:t>technical, onerous requirements that it has proved to be of little value to smaller companies needing to raise capital.</w:t>
      </w:r>
    </w:p>
    <w:p w14:paraId="564AAD35" w14:textId="5FCDC508" w:rsidR="00FF589B" w:rsidRDefault="007B48FE">
      <w:r>
        <w:t>As a result of the failure at the federal level to create a viable, workable crowdfunding exemption</w:t>
      </w:r>
      <w:r w:rsidR="00421658">
        <w:t>, n</w:t>
      </w:r>
      <w:r w:rsidR="005B06B6">
        <w:t>early every state has adopted a</w:t>
      </w:r>
      <w:r w:rsidR="00FD2644">
        <w:t xml:space="preserve">n exemption from state registration for </w:t>
      </w:r>
      <w:r w:rsidR="003242F9">
        <w:t xml:space="preserve">relatively </w:t>
      </w:r>
      <w:r w:rsidR="00FD2644">
        <w:t>small</w:t>
      </w:r>
      <w:r w:rsidR="003242F9">
        <w:t xml:space="preserve"> </w:t>
      </w:r>
      <w:r w:rsidR="00FD2644">
        <w:t>intrastate offerings</w:t>
      </w:r>
      <w:r w:rsidR="003C52C3">
        <w:t xml:space="preserve">. </w:t>
      </w:r>
      <w:r w:rsidR="00B711DD">
        <w:t xml:space="preserve">The </w:t>
      </w:r>
      <w:r w:rsidR="00BD020C">
        <w:t xml:space="preserve">state </w:t>
      </w:r>
      <w:r w:rsidR="00723C2D">
        <w:t xml:space="preserve">crowdfunding </w:t>
      </w:r>
      <w:r w:rsidR="00B711DD">
        <w:t xml:space="preserve">exemption </w:t>
      </w:r>
      <w:r w:rsidR="006C06B0">
        <w:t>is conditioned on compliance with the federal exemption for int</w:t>
      </w:r>
      <w:r w:rsidR="003F0B96">
        <w:t>rastate offerings contained in Section 3(a)(11) of the Securities Act of 1933 and SEC Rules 147 and 147</w:t>
      </w:r>
      <w:r w:rsidR="00036117">
        <w:t>A, which</w:t>
      </w:r>
      <w:r w:rsidR="00880990">
        <w:t xml:space="preserve"> means that the securities offering must be </w:t>
      </w:r>
      <w:r w:rsidR="00744BA9">
        <w:t xml:space="preserve">by a company </w:t>
      </w:r>
      <w:r w:rsidR="00735444">
        <w:t xml:space="preserve">principally </w:t>
      </w:r>
      <w:r w:rsidR="00744BA9">
        <w:t xml:space="preserve">located within the state and the sales </w:t>
      </w:r>
      <w:r w:rsidR="00735444">
        <w:t xml:space="preserve">of securities </w:t>
      </w:r>
      <w:r w:rsidR="00744BA9">
        <w:t xml:space="preserve">must </w:t>
      </w:r>
      <w:r w:rsidR="0080708B">
        <w:t xml:space="preserve">be </w:t>
      </w:r>
      <w:r w:rsidR="00880990">
        <w:t>limited to the residents of the state</w:t>
      </w:r>
      <w:r w:rsidR="0080708B">
        <w:t xml:space="preserve">. </w:t>
      </w:r>
    </w:p>
    <w:p w14:paraId="31157E1E" w14:textId="7F73213F" w:rsidR="009C2062" w:rsidRDefault="009C2062">
      <w:r>
        <w:t>Following the national trend, Florida adopted an intrastate crowdfunding exemption in 2015</w:t>
      </w:r>
      <w:r w:rsidR="000E4F12">
        <w:t>. Fl. Stat. Ch. 517.0611.</w:t>
      </w:r>
      <w:r w:rsidR="00F71D51">
        <w:t xml:space="preserve"> </w:t>
      </w:r>
      <w:r w:rsidR="000E4F12">
        <w:t>Unfortunately, Florida’s legislation did nothing more than mirror the federal requirement</w:t>
      </w:r>
      <w:r w:rsidR="00F71D51">
        <w:t>s</w:t>
      </w:r>
      <w:r w:rsidR="00B67763">
        <w:t xml:space="preserve"> which have proven to be </w:t>
      </w:r>
      <w:r w:rsidR="007B68D2">
        <w:t>of very limited usefulness</w:t>
      </w:r>
      <w:r w:rsidR="00F71D51">
        <w:t xml:space="preserve">. As a result, to date there has not been </w:t>
      </w:r>
      <w:r w:rsidR="005610B1">
        <w:t xml:space="preserve">a </w:t>
      </w:r>
      <w:r w:rsidR="00FD50AD">
        <w:t xml:space="preserve">single securities </w:t>
      </w:r>
      <w:r w:rsidR="00F71D51">
        <w:t xml:space="preserve">offering under </w:t>
      </w:r>
      <w:r w:rsidR="00E01DAE">
        <w:t>Florida’s</w:t>
      </w:r>
      <w:r w:rsidR="00F71D51">
        <w:t xml:space="preserve"> </w:t>
      </w:r>
      <w:r w:rsidR="007B68D2">
        <w:t xml:space="preserve">crowdfunding </w:t>
      </w:r>
      <w:r w:rsidR="00036117">
        <w:t>statute</w:t>
      </w:r>
      <w:r w:rsidR="00F71D51">
        <w:t xml:space="preserve">. </w:t>
      </w:r>
      <w:r w:rsidR="00137AA9">
        <w:t xml:space="preserve">The </w:t>
      </w:r>
      <w:r w:rsidR="00036117">
        <w:t xml:space="preserve">OFR </w:t>
      </w:r>
      <w:r w:rsidR="00137AA9">
        <w:t xml:space="preserve">proposed reform measures would bring Florida’s crowdfunding exemption in line with </w:t>
      </w:r>
      <w:r w:rsidR="00A35ACF">
        <w:t>similar exemptions in other states</w:t>
      </w:r>
      <w:r w:rsidR="00710934">
        <w:t xml:space="preserve"> and will open opportunities for smaller companies to raise capital within a much more reasonable and workable regulatory framework. We have been advised, for example, that </w:t>
      </w:r>
      <w:r w:rsidR="00C01CC9">
        <w:t xml:space="preserve">there have been </w:t>
      </w:r>
      <w:r w:rsidR="005522D1">
        <w:t xml:space="preserve">numerous offerings in Georgia under their </w:t>
      </w:r>
      <w:r w:rsidR="00905510">
        <w:t xml:space="preserve">crowdfunding </w:t>
      </w:r>
      <w:r w:rsidR="005522D1">
        <w:t xml:space="preserve">provisions that </w:t>
      </w:r>
      <w:r w:rsidR="00905510">
        <w:t>are</w:t>
      </w:r>
      <w:r w:rsidR="005522D1">
        <w:t xml:space="preserve"> substantially similar to the OFR’s reform proposals. </w:t>
      </w:r>
    </w:p>
    <w:p w14:paraId="49BCED0F" w14:textId="2871F0E2" w:rsidR="00905510" w:rsidRDefault="00D2144D">
      <w:r>
        <w:t xml:space="preserve">The principal reform elements </w:t>
      </w:r>
      <w:r w:rsidR="008179D2">
        <w:t>to the crowdfunding exemption</w:t>
      </w:r>
      <w:r w:rsidR="00CF1C6D">
        <w:t xml:space="preserve"> are: </w:t>
      </w:r>
      <w:r w:rsidR="005E78F4">
        <w:t xml:space="preserve"> </w:t>
      </w:r>
    </w:p>
    <w:p w14:paraId="3632C566" w14:textId="67D7F834" w:rsidR="00CA0EA3" w:rsidRPr="00486F5E" w:rsidRDefault="00A55698" w:rsidP="00CA0EA3">
      <w:pPr>
        <w:pStyle w:val="ListParagraph"/>
        <w:numPr>
          <w:ilvl w:val="0"/>
          <w:numId w:val="2"/>
        </w:numPr>
        <w:rPr>
          <w:b/>
          <w:bCs/>
        </w:rPr>
      </w:pPr>
      <w:r w:rsidRPr="00486F5E">
        <w:rPr>
          <w:b/>
          <w:bCs/>
        </w:rPr>
        <w:t xml:space="preserve">Expands </w:t>
      </w:r>
      <w:r w:rsidR="00486F5E" w:rsidRPr="00486F5E">
        <w:rPr>
          <w:b/>
          <w:bCs/>
        </w:rPr>
        <w:t>companies eligible to use the exemption</w:t>
      </w:r>
      <w:r w:rsidR="00486F5E">
        <w:rPr>
          <w:b/>
          <w:bCs/>
        </w:rPr>
        <w:t xml:space="preserve"> </w:t>
      </w:r>
      <w:r w:rsidR="00486F5E">
        <w:t>by eliminating the requirement</w:t>
      </w:r>
      <w:r w:rsidR="00D6100F">
        <w:t xml:space="preserve"> that the company be incorporated in Florida. Therefore, a </w:t>
      </w:r>
      <w:r w:rsidR="00036117">
        <w:t xml:space="preserve">Florida-based </w:t>
      </w:r>
      <w:r w:rsidR="00D6100F">
        <w:t>corporation or LLC formed in another state, such as Del</w:t>
      </w:r>
      <w:r w:rsidR="00C12516">
        <w:t xml:space="preserve">aware, can raise capital under this exemption provided that Florida is </w:t>
      </w:r>
      <w:r w:rsidR="005610B1">
        <w:t xml:space="preserve">the company’s </w:t>
      </w:r>
      <w:r w:rsidR="00C12516">
        <w:t>principal place of business</w:t>
      </w:r>
      <w:r w:rsidR="008642A5">
        <w:t xml:space="preserve"> </w:t>
      </w:r>
      <w:r w:rsidR="00036117">
        <w:t xml:space="preserve">as determined by </w:t>
      </w:r>
      <w:r w:rsidR="0050071F">
        <w:t xml:space="preserve">objective criteria set forth in </w:t>
      </w:r>
      <w:r w:rsidR="008642A5">
        <w:t>SEC Rule 147A.</w:t>
      </w:r>
    </w:p>
    <w:p w14:paraId="157AB934" w14:textId="29E16616" w:rsidR="00D2144D" w:rsidRDefault="00D85190" w:rsidP="000A3E2E">
      <w:pPr>
        <w:pStyle w:val="ListParagraph"/>
        <w:numPr>
          <w:ilvl w:val="0"/>
          <w:numId w:val="2"/>
        </w:numPr>
      </w:pPr>
      <w:r w:rsidRPr="000A3E2E">
        <w:rPr>
          <w:b/>
          <w:bCs/>
        </w:rPr>
        <w:t>Increase</w:t>
      </w:r>
      <w:r w:rsidR="00326DE1">
        <w:rPr>
          <w:b/>
          <w:bCs/>
        </w:rPr>
        <w:t xml:space="preserve">s the </w:t>
      </w:r>
      <w:r w:rsidRPr="000A3E2E">
        <w:rPr>
          <w:b/>
          <w:bCs/>
        </w:rPr>
        <w:t>amount a company can raise</w:t>
      </w:r>
      <w:r w:rsidR="004535CF">
        <w:t xml:space="preserve"> </w:t>
      </w:r>
      <w:r w:rsidR="0055320A">
        <w:t xml:space="preserve">under the exemption </w:t>
      </w:r>
      <w:r w:rsidR="004535CF">
        <w:t xml:space="preserve">within </w:t>
      </w:r>
      <w:r w:rsidR="00036117">
        <w:t xml:space="preserve">a </w:t>
      </w:r>
      <w:r w:rsidR="004535CF">
        <w:t>12</w:t>
      </w:r>
      <w:r w:rsidR="0055320A">
        <w:t>-month</w:t>
      </w:r>
      <w:r w:rsidR="004535CF">
        <w:t xml:space="preserve"> </w:t>
      </w:r>
      <w:r w:rsidR="0055320A">
        <w:t xml:space="preserve">period </w:t>
      </w:r>
      <w:r w:rsidR="004535CF">
        <w:t>from $1 million to $5 million</w:t>
      </w:r>
      <w:r w:rsidR="00205142">
        <w:t xml:space="preserve">. The SEC recently amended </w:t>
      </w:r>
      <w:r w:rsidR="005610B1">
        <w:t xml:space="preserve">its crowdfunding exemption </w:t>
      </w:r>
      <w:r w:rsidR="00205142">
        <w:t xml:space="preserve">to allow for </w:t>
      </w:r>
      <w:r w:rsidR="00E6190A">
        <w:t xml:space="preserve">a </w:t>
      </w:r>
      <w:r w:rsidR="005610B1">
        <w:t>$5 million</w:t>
      </w:r>
      <w:r w:rsidR="00205142">
        <w:t xml:space="preserve"> </w:t>
      </w:r>
      <w:r w:rsidR="00E6190A">
        <w:t>maximum amount</w:t>
      </w:r>
      <w:r w:rsidR="00205142">
        <w:t xml:space="preserve">. </w:t>
      </w:r>
      <w:r w:rsidR="00F74879">
        <w:t xml:space="preserve">In today’s economy, limiting a company to </w:t>
      </w:r>
      <w:r w:rsidR="005610B1">
        <w:t xml:space="preserve">raising </w:t>
      </w:r>
      <w:r w:rsidR="00F74879">
        <w:t xml:space="preserve">$1 million in a 12-month period </w:t>
      </w:r>
      <w:r w:rsidR="00916F57">
        <w:t>may be too restrictive for many businesses.</w:t>
      </w:r>
    </w:p>
    <w:p w14:paraId="1EA08D92" w14:textId="0CDF4A40" w:rsidR="00916F57" w:rsidRDefault="00326DE1" w:rsidP="00D2144D">
      <w:pPr>
        <w:pStyle w:val="ListParagraph"/>
        <w:numPr>
          <w:ilvl w:val="0"/>
          <w:numId w:val="2"/>
        </w:numPr>
      </w:pPr>
      <w:r>
        <w:rPr>
          <w:b/>
          <w:bCs/>
        </w:rPr>
        <w:t>Sets a</w:t>
      </w:r>
      <w:r w:rsidR="00727BFB" w:rsidRPr="00F13055">
        <w:rPr>
          <w:b/>
          <w:bCs/>
        </w:rPr>
        <w:t xml:space="preserve"> flat $10,000 maximum that </w:t>
      </w:r>
      <w:r w:rsidR="003207B5" w:rsidRPr="00F13055">
        <w:rPr>
          <w:b/>
          <w:bCs/>
        </w:rPr>
        <w:t>a non-accredited investor can invest</w:t>
      </w:r>
      <w:r w:rsidR="003207B5">
        <w:t xml:space="preserve"> in crowdfunding </w:t>
      </w:r>
      <w:r w:rsidR="0009114D">
        <w:t xml:space="preserve">offerings in </w:t>
      </w:r>
      <w:r w:rsidR="00F04C94">
        <w:t>a</w:t>
      </w:r>
      <w:r w:rsidR="0009114D">
        <w:t xml:space="preserve"> 12-month period</w:t>
      </w:r>
      <w:r w:rsidR="00CE2716">
        <w:t>. This proposal avoids the confusion of the formula-based limitations</w:t>
      </w:r>
      <w:r w:rsidR="00F04C94">
        <w:t xml:space="preserve"> in </w:t>
      </w:r>
      <w:r w:rsidR="000C4ACF">
        <w:t>t</w:t>
      </w:r>
      <w:r w:rsidR="00F04C94">
        <w:t>he current statute.</w:t>
      </w:r>
      <w:r w:rsidR="00B15E94">
        <w:t xml:space="preserve"> For accredited investors, there is no investment limitation in the current statute or the proposed bill.</w:t>
      </w:r>
    </w:p>
    <w:p w14:paraId="03260FF8" w14:textId="3F967024" w:rsidR="005F2BA6" w:rsidRDefault="00F04C94" w:rsidP="00D2144D">
      <w:pPr>
        <w:pStyle w:val="ListParagraph"/>
        <w:numPr>
          <w:ilvl w:val="0"/>
          <w:numId w:val="2"/>
        </w:numPr>
      </w:pPr>
      <w:r w:rsidRPr="00F13055">
        <w:rPr>
          <w:b/>
          <w:bCs/>
        </w:rPr>
        <w:t>Eliminat</w:t>
      </w:r>
      <w:r w:rsidR="00326DE1">
        <w:rPr>
          <w:b/>
          <w:bCs/>
        </w:rPr>
        <w:t>es</w:t>
      </w:r>
      <w:r w:rsidRPr="00F13055">
        <w:rPr>
          <w:b/>
          <w:bCs/>
        </w:rPr>
        <w:t xml:space="preserve"> </w:t>
      </w:r>
      <w:r w:rsidR="00826ACA">
        <w:rPr>
          <w:b/>
          <w:bCs/>
        </w:rPr>
        <w:t xml:space="preserve">the </w:t>
      </w:r>
      <w:r w:rsidRPr="00F13055">
        <w:rPr>
          <w:b/>
          <w:bCs/>
        </w:rPr>
        <w:t xml:space="preserve">requirement that the offering be </w:t>
      </w:r>
      <w:r w:rsidR="00BC6070" w:rsidRPr="00F13055">
        <w:rPr>
          <w:b/>
          <w:bCs/>
        </w:rPr>
        <w:t>administered by a</w:t>
      </w:r>
      <w:r w:rsidR="00A12799">
        <w:rPr>
          <w:b/>
          <w:bCs/>
        </w:rPr>
        <w:t xml:space="preserve"> dealer or a</w:t>
      </w:r>
      <w:r w:rsidR="00BC6070" w:rsidRPr="00F13055">
        <w:rPr>
          <w:b/>
          <w:bCs/>
        </w:rPr>
        <w:t>n intermediary</w:t>
      </w:r>
      <w:r w:rsidR="00BC6070">
        <w:t xml:space="preserve">. </w:t>
      </w:r>
      <w:r w:rsidR="003551DB">
        <w:t xml:space="preserve">The </w:t>
      </w:r>
      <w:r w:rsidR="00BC6070">
        <w:t xml:space="preserve">requirement </w:t>
      </w:r>
      <w:r w:rsidR="005610B1">
        <w:t xml:space="preserve">that the issuer </w:t>
      </w:r>
      <w:r w:rsidR="0015032D">
        <w:t>employ</w:t>
      </w:r>
      <w:r w:rsidR="00726CB4">
        <w:t xml:space="preserve"> a third-party </w:t>
      </w:r>
      <w:r w:rsidR="00A12799">
        <w:t xml:space="preserve">dealer or </w:t>
      </w:r>
      <w:r w:rsidR="005610B1">
        <w:t xml:space="preserve">registered </w:t>
      </w:r>
      <w:r w:rsidR="00726CB4">
        <w:t xml:space="preserve">intermediary </w:t>
      </w:r>
      <w:r w:rsidR="0015032D">
        <w:t xml:space="preserve">to administer the offering </w:t>
      </w:r>
      <w:r w:rsidR="00726CB4">
        <w:t xml:space="preserve">may be the greatest impediment to </w:t>
      </w:r>
      <w:r w:rsidR="0015032D">
        <w:t xml:space="preserve">the </w:t>
      </w:r>
      <w:r w:rsidR="00E93EAF">
        <w:t xml:space="preserve">use of the crowdfunding exemption, as it is </w:t>
      </w:r>
      <w:r w:rsidR="00C25F93">
        <w:t xml:space="preserve">costly to the issuer and </w:t>
      </w:r>
      <w:r w:rsidR="00D36881">
        <w:t>hinders the ability of the issuer to market its offering.</w:t>
      </w:r>
      <w:r w:rsidR="006A1A2D">
        <w:t xml:space="preserve"> Nearly every </w:t>
      </w:r>
      <w:r w:rsidR="00326DE1">
        <w:t xml:space="preserve">other </w:t>
      </w:r>
      <w:r w:rsidR="006A1A2D">
        <w:t>state exemption has eliminated th</w:t>
      </w:r>
      <w:r w:rsidR="005610B1">
        <w:t>is</w:t>
      </w:r>
      <w:r w:rsidR="00157ADE">
        <w:t xml:space="preserve"> </w:t>
      </w:r>
      <w:r w:rsidR="00014A63">
        <w:t>r</w:t>
      </w:r>
      <w:r w:rsidR="006A1A2D">
        <w:t>equirement</w:t>
      </w:r>
      <w:r w:rsidR="005610B1">
        <w:t xml:space="preserve">. </w:t>
      </w:r>
      <w:r w:rsidR="006A1A2D">
        <w:t>The issuer may choose to use an intermediary,</w:t>
      </w:r>
      <w:r w:rsidR="006A1190">
        <w:t xml:space="preserve"> in which case the OFR proposal contains </w:t>
      </w:r>
      <w:r w:rsidR="002D4FF6">
        <w:t>in s. 5</w:t>
      </w:r>
      <w:r w:rsidR="00036890">
        <w:t>17.12</w:t>
      </w:r>
      <w:r w:rsidR="0055320A">
        <w:t xml:space="preserve"> </w:t>
      </w:r>
      <w:r w:rsidR="006A1190">
        <w:t xml:space="preserve">provisions for the registration of the intermediary and </w:t>
      </w:r>
      <w:r w:rsidR="00E3756C">
        <w:t xml:space="preserve">sets forth </w:t>
      </w:r>
      <w:r w:rsidR="006A1190">
        <w:t>the intermediary’s statutory obligations.</w:t>
      </w:r>
      <w:r w:rsidR="00014A63">
        <w:t xml:space="preserve"> If the issuer chooses not to use an intermediary, the issuer </w:t>
      </w:r>
      <w:r w:rsidR="00BC7A20">
        <w:t xml:space="preserve">is obligated to perform the </w:t>
      </w:r>
      <w:r w:rsidR="00A13FC1">
        <w:t xml:space="preserve">duties that would otherwise be performed by </w:t>
      </w:r>
      <w:r w:rsidR="00BC7A20">
        <w:t>an</w:t>
      </w:r>
      <w:r w:rsidR="00A13FC1">
        <w:t xml:space="preserve"> intermediary, </w:t>
      </w:r>
      <w:r w:rsidR="00E3756C">
        <w:t>including</w:t>
      </w:r>
      <w:r w:rsidR="00A13FC1">
        <w:t xml:space="preserve"> assuring that the investors are advised of the risks of the offering, are qualified, </w:t>
      </w:r>
      <w:r w:rsidR="003C73B8">
        <w:t>and that the disclosure materials are given to all potential investors.</w:t>
      </w:r>
    </w:p>
    <w:p w14:paraId="1777C52E" w14:textId="184D818E" w:rsidR="00F04C94" w:rsidRDefault="005F2BA6" w:rsidP="00D2144D">
      <w:pPr>
        <w:pStyle w:val="ListParagraph"/>
        <w:numPr>
          <w:ilvl w:val="0"/>
          <w:numId w:val="2"/>
        </w:numPr>
      </w:pPr>
      <w:r w:rsidRPr="00F13055">
        <w:rPr>
          <w:b/>
          <w:bCs/>
        </w:rPr>
        <w:lastRenderedPageBreak/>
        <w:t>Eliminat</w:t>
      </w:r>
      <w:r w:rsidR="0056336F">
        <w:rPr>
          <w:b/>
          <w:bCs/>
        </w:rPr>
        <w:t>es</w:t>
      </w:r>
      <w:r w:rsidRPr="00F13055">
        <w:rPr>
          <w:b/>
          <w:bCs/>
        </w:rPr>
        <w:t xml:space="preserve"> </w:t>
      </w:r>
      <w:r w:rsidR="00826ACA">
        <w:rPr>
          <w:b/>
          <w:bCs/>
        </w:rPr>
        <w:t xml:space="preserve">the </w:t>
      </w:r>
      <w:r w:rsidRPr="00F13055">
        <w:rPr>
          <w:b/>
          <w:bCs/>
        </w:rPr>
        <w:t xml:space="preserve">mandatory </w:t>
      </w:r>
      <w:r w:rsidR="00A0757D">
        <w:rPr>
          <w:b/>
          <w:bCs/>
        </w:rPr>
        <w:t xml:space="preserve">third-party </w:t>
      </w:r>
      <w:r w:rsidRPr="00F13055">
        <w:rPr>
          <w:b/>
          <w:bCs/>
        </w:rPr>
        <w:t>escrow of funds</w:t>
      </w:r>
      <w:r>
        <w:t xml:space="preserve">. </w:t>
      </w:r>
      <w:r w:rsidR="00C15AA4">
        <w:t xml:space="preserve">The current statute requires that the issuer set a </w:t>
      </w:r>
      <w:r w:rsidR="00F65440">
        <w:t xml:space="preserve">minimum </w:t>
      </w:r>
      <w:r w:rsidR="00C15AA4">
        <w:t>target</w:t>
      </w:r>
      <w:r w:rsidR="00F65440">
        <w:t xml:space="preserve"> amount</w:t>
      </w:r>
      <w:r w:rsidR="006A1A2D">
        <w:t xml:space="preserve"> </w:t>
      </w:r>
      <w:r w:rsidR="00F65440">
        <w:t xml:space="preserve">and that all proceeds from the sale of securities be deposited with a </w:t>
      </w:r>
      <w:r w:rsidR="00304A4A">
        <w:t xml:space="preserve">third-party escrow agent until the target amount has been reached. </w:t>
      </w:r>
      <w:r w:rsidR="009036AA">
        <w:t>While seemingly unobtrusive, in practice the escrow requirement is a major impediment for smaller companies. The OFR reported, and Task Force members confirmed, that banks and other institutions are not willing to serve as escrow agents for small companies</w:t>
      </w:r>
      <w:r w:rsidR="00C0325B">
        <w:t xml:space="preserve"> for reasons of administrative costs and potential liabilities.</w:t>
      </w:r>
      <w:r w:rsidR="000C7F67">
        <w:t xml:space="preserve"> The OFR proposal allows the issuer to use a third-party escrow agent</w:t>
      </w:r>
      <w:r w:rsidR="000F4097">
        <w:t xml:space="preserve">. </w:t>
      </w:r>
      <w:r w:rsidR="00106E9D">
        <w:t xml:space="preserve">Alternatively, </w:t>
      </w:r>
      <w:r w:rsidR="000C7F67">
        <w:t xml:space="preserve">the issuer </w:t>
      </w:r>
      <w:r w:rsidR="00106E9D">
        <w:t xml:space="preserve">is required </w:t>
      </w:r>
      <w:r w:rsidR="000C7F67">
        <w:t xml:space="preserve">to deposit the proceeds in a </w:t>
      </w:r>
      <w:r w:rsidR="00A70625">
        <w:t>federally insured</w:t>
      </w:r>
      <w:r w:rsidR="000C7F67">
        <w:t xml:space="preserve"> bank</w:t>
      </w:r>
      <w:r w:rsidR="000C033E">
        <w:t xml:space="preserve"> until the target amount has been reached. If the target amount is not reached within a pre-determined, disclosed </w:t>
      </w:r>
      <w:r w:rsidR="00A70625">
        <w:t xml:space="preserve">time </w:t>
      </w:r>
      <w:r w:rsidR="000C033E">
        <w:t>period, the issuer is obligated to return all funds to the investors.</w:t>
      </w:r>
    </w:p>
    <w:p w14:paraId="13AE05AE" w14:textId="4A627E77" w:rsidR="007F083F" w:rsidRDefault="0056336F" w:rsidP="00D2144D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Allows </w:t>
      </w:r>
      <w:r w:rsidR="00D33879">
        <w:rPr>
          <w:b/>
          <w:bCs/>
        </w:rPr>
        <w:t>general solicitation and advertising</w:t>
      </w:r>
      <w:r w:rsidR="00D33879" w:rsidRPr="00D33879">
        <w:t>.</w:t>
      </w:r>
      <w:r w:rsidR="00D33879">
        <w:t xml:space="preserve"> </w:t>
      </w:r>
      <w:r w:rsidR="00D33879" w:rsidRPr="00D33879">
        <w:t xml:space="preserve">The </w:t>
      </w:r>
      <w:r w:rsidR="00D33879" w:rsidRPr="00607554">
        <w:t>current statute</w:t>
      </w:r>
      <w:r w:rsidR="00607554">
        <w:t xml:space="preserve"> has no provision that permits the issuer to </w:t>
      </w:r>
      <w:r w:rsidR="007C2451">
        <w:t xml:space="preserve">solicit potential investors and use general advertising, other than through an intermediary. The proposal allows </w:t>
      </w:r>
      <w:r w:rsidR="00294D24">
        <w:t xml:space="preserve">the issuer to engage </w:t>
      </w:r>
      <w:r>
        <w:t xml:space="preserve">directly </w:t>
      </w:r>
      <w:r w:rsidR="00294D24">
        <w:t xml:space="preserve">in </w:t>
      </w:r>
      <w:r w:rsidR="000F3449">
        <w:t xml:space="preserve">general </w:t>
      </w:r>
      <w:r w:rsidR="00294D24">
        <w:t>solicitation and advertising of the offering</w:t>
      </w:r>
      <w:r w:rsidR="000F3449">
        <w:t>, provided that all communications limit the target audience to residents of the state</w:t>
      </w:r>
      <w:r w:rsidR="00294D24">
        <w:t xml:space="preserve">. </w:t>
      </w:r>
    </w:p>
    <w:p w14:paraId="14D49B95" w14:textId="3C859575" w:rsidR="00C614A3" w:rsidRDefault="00E16D46" w:rsidP="00D2144D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 “</w:t>
      </w:r>
      <w:r w:rsidR="00BE1F42">
        <w:rPr>
          <w:b/>
          <w:bCs/>
        </w:rPr>
        <w:t>D</w:t>
      </w:r>
      <w:r>
        <w:rPr>
          <w:b/>
          <w:bCs/>
        </w:rPr>
        <w:t>emo day” presentations</w:t>
      </w:r>
      <w:r w:rsidRPr="00E16D46">
        <w:t>.</w:t>
      </w:r>
      <w:r>
        <w:t xml:space="preserve"> </w:t>
      </w:r>
      <w:r w:rsidR="00B27E93">
        <w:t xml:space="preserve">The issuer is permitted to engage in carefully prescribed </w:t>
      </w:r>
      <w:r w:rsidR="00F81CCA">
        <w:t>“demo day” meetings</w:t>
      </w:r>
      <w:r w:rsidR="000E11B6">
        <w:t xml:space="preserve"> with potential investors</w:t>
      </w:r>
      <w:r w:rsidR="00C538B6">
        <w:t xml:space="preserve"> in accordance with </w:t>
      </w:r>
      <w:r w:rsidR="005610B1">
        <w:t xml:space="preserve">conditions </w:t>
      </w:r>
      <w:r w:rsidR="000E11B6">
        <w:t xml:space="preserve">analogous to those </w:t>
      </w:r>
      <w:r w:rsidR="00C538B6">
        <w:t xml:space="preserve">set forth in </w:t>
      </w:r>
      <w:r w:rsidR="0056336F">
        <w:t xml:space="preserve">recently adopted </w:t>
      </w:r>
      <w:r w:rsidR="00C538B6">
        <w:t>SEC Rule 148.</w:t>
      </w:r>
      <w:r w:rsidR="00BE1F42">
        <w:t xml:space="preserve"> </w:t>
      </w:r>
      <w:r w:rsidR="003A7130">
        <w:t>Such meetings are limited in terms of sponsors</w:t>
      </w:r>
      <w:r w:rsidR="007E6C72">
        <w:t xml:space="preserve">, must involve more than one issuer, there are strict limitations on </w:t>
      </w:r>
      <w:r w:rsidR="00454F2D">
        <w:t>issuer</w:t>
      </w:r>
      <w:r w:rsidR="007E6C72">
        <w:t xml:space="preserve"> communications, </w:t>
      </w:r>
      <w:r w:rsidR="003A7130">
        <w:t xml:space="preserve">and </w:t>
      </w:r>
      <w:r w:rsidR="0093586B">
        <w:t>cannot involve any</w:t>
      </w:r>
      <w:r w:rsidR="003A7130">
        <w:t xml:space="preserve"> investment recommendations</w:t>
      </w:r>
      <w:r w:rsidR="0055320A">
        <w:t xml:space="preserve">, </w:t>
      </w:r>
      <w:r w:rsidR="003A7130">
        <w:t>negotiations</w:t>
      </w:r>
      <w:r w:rsidR="0055320A">
        <w:t xml:space="preserve"> or commitments.</w:t>
      </w:r>
    </w:p>
    <w:p w14:paraId="0D857FC1" w14:textId="7FDD9D20" w:rsidR="00F94C39" w:rsidRDefault="00A01971" w:rsidP="00D2144D">
      <w:pPr>
        <w:pStyle w:val="ListParagraph"/>
        <w:numPr>
          <w:ilvl w:val="0"/>
          <w:numId w:val="2"/>
        </w:numPr>
      </w:pPr>
      <w:r>
        <w:rPr>
          <w:b/>
          <w:bCs/>
        </w:rPr>
        <w:t>Eliminat</w:t>
      </w:r>
      <w:r w:rsidR="0056336F">
        <w:rPr>
          <w:b/>
          <w:bCs/>
        </w:rPr>
        <w:t>es</w:t>
      </w:r>
      <w:r>
        <w:rPr>
          <w:b/>
          <w:bCs/>
        </w:rPr>
        <w:t xml:space="preserve"> required annual reports to investors</w:t>
      </w:r>
      <w:r w:rsidRPr="00A01971">
        <w:t>.</w:t>
      </w:r>
      <w:r>
        <w:t xml:space="preserve"> </w:t>
      </w:r>
      <w:r w:rsidR="00DD3661">
        <w:t>The OFR proposal eliminates this requirement</w:t>
      </w:r>
      <w:r w:rsidR="00DF63F6">
        <w:t xml:space="preserve">. </w:t>
      </w:r>
      <w:r w:rsidR="00A3139B">
        <w:t xml:space="preserve">No other exemption </w:t>
      </w:r>
      <w:r w:rsidR="005610B1">
        <w:t xml:space="preserve">from registration </w:t>
      </w:r>
      <w:r w:rsidR="00A3139B">
        <w:t>has this requirement, and</w:t>
      </w:r>
      <w:r w:rsidR="00DD3661">
        <w:t xml:space="preserve"> both the corporation and limited liability company statutes </w:t>
      </w:r>
      <w:r w:rsidR="000178F2">
        <w:t xml:space="preserve">allow for </w:t>
      </w:r>
      <w:r w:rsidR="00DF63F6">
        <w:t>inspection of financial statements and other records by shareholders or members.</w:t>
      </w:r>
    </w:p>
    <w:p w14:paraId="204CD3A6" w14:textId="469FA416" w:rsidR="00155182" w:rsidRDefault="0093586B" w:rsidP="00C0584F">
      <w:pPr>
        <w:pStyle w:val="ListParagraph"/>
        <w:numPr>
          <w:ilvl w:val="0"/>
          <w:numId w:val="2"/>
        </w:numPr>
      </w:pPr>
      <w:r>
        <w:rPr>
          <w:b/>
          <w:bCs/>
        </w:rPr>
        <w:t>T</w:t>
      </w:r>
      <w:r w:rsidR="003C01F8" w:rsidRPr="00C0584F">
        <w:rPr>
          <w:b/>
          <w:bCs/>
        </w:rPr>
        <w:t>hree-day voidability provision</w:t>
      </w:r>
      <w:r w:rsidR="003C01F8">
        <w:t xml:space="preserve">: This provision, </w:t>
      </w:r>
      <w:r w:rsidR="00566867">
        <w:t xml:space="preserve">contained in Florida’s limited offering exemption in Ch. 517.061(11), is proposed to be added to the crowdfunding statute. </w:t>
      </w:r>
      <w:r w:rsidR="0088058D">
        <w:t>It allows an investor</w:t>
      </w:r>
      <w:r w:rsidR="00A423FF">
        <w:t xml:space="preserve"> to rescind the transaction within the latter of 3 days after </w:t>
      </w:r>
      <w:r w:rsidR="00A65A8A">
        <w:t xml:space="preserve">(i) purchase or (ii) </w:t>
      </w:r>
      <w:r w:rsidR="00DF3D80">
        <w:t>being</w:t>
      </w:r>
      <w:r w:rsidR="00A65A8A">
        <w:t xml:space="preserve"> advised of the right</w:t>
      </w:r>
      <w:r w:rsidR="00DF3D80">
        <w:t xml:space="preserve"> to rescind. The Task Force recognizes that this provision may be a trap for the unwary </w:t>
      </w:r>
      <w:r w:rsidR="009C7E1F">
        <w:t xml:space="preserve">issuer, but it has long been a part of Florida’s securities laws and is an investor protection measure. </w:t>
      </w:r>
      <w:r w:rsidR="00DF3D80">
        <w:t xml:space="preserve"> </w:t>
      </w:r>
    </w:p>
    <w:p w14:paraId="1CB49A26" w14:textId="1AAC598C" w:rsidR="00EB7812" w:rsidRDefault="00686D77" w:rsidP="007215C5">
      <w:pPr>
        <w:pStyle w:val="ListParagraph"/>
        <w:numPr>
          <w:ilvl w:val="0"/>
          <w:numId w:val="2"/>
        </w:numPr>
      </w:pPr>
      <w:r>
        <w:rPr>
          <w:b/>
          <w:bCs/>
        </w:rPr>
        <w:t>F</w:t>
      </w:r>
      <w:r w:rsidR="007215C5" w:rsidRPr="007215C5">
        <w:rPr>
          <w:b/>
          <w:bCs/>
        </w:rPr>
        <w:t>inancial statement disclosures</w:t>
      </w:r>
      <w:r w:rsidR="007215C5">
        <w:t xml:space="preserve">. The proposed bill retains the substantial disclosure obligations of issuers to prospective investors. Because of the change in </w:t>
      </w:r>
      <w:r w:rsidR="009F65D0">
        <w:t>maximum offering amounts, the financial disclosure obligations have been revised</w:t>
      </w:r>
      <w:r w:rsidR="009C2C76">
        <w:t xml:space="preserve"> for differing offering amounts</w:t>
      </w:r>
      <w:r w:rsidR="00ED0B75">
        <w:t xml:space="preserve"> and clarifie</w:t>
      </w:r>
      <w:r w:rsidR="00C3496D">
        <w:t>d</w:t>
      </w:r>
      <w:r w:rsidR="00ED0B75">
        <w:t xml:space="preserve"> </w:t>
      </w:r>
      <w:r w:rsidR="005610B1">
        <w:t>a</w:t>
      </w:r>
      <w:r w:rsidR="00B81D28">
        <w:t xml:space="preserve">s to </w:t>
      </w:r>
      <w:r w:rsidR="00ED0B75">
        <w:t xml:space="preserve">the required types of financial statements. </w:t>
      </w:r>
    </w:p>
    <w:p w14:paraId="2587CBA3" w14:textId="7D1CD366" w:rsidR="006F0C57" w:rsidRPr="00AE22A7" w:rsidRDefault="004A5C25" w:rsidP="004A5C25">
      <w:r>
        <w:t>2</w:t>
      </w:r>
      <w:r w:rsidRPr="00686172">
        <w:rPr>
          <w:b/>
          <w:bCs/>
        </w:rPr>
        <w:t xml:space="preserve">.Adoption of </w:t>
      </w:r>
      <w:r w:rsidR="009852D8">
        <w:rPr>
          <w:b/>
          <w:bCs/>
        </w:rPr>
        <w:t xml:space="preserve">an </w:t>
      </w:r>
      <w:r w:rsidRPr="00686172">
        <w:rPr>
          <w:b/>
          <w:bCs/>
        </w:rPr>
        <w:t xml:space="preserve">Accredited Investor </w:t>
      </w:r>
      <w:r w:rsidR="00686172" w:rsidRPr="006D733B">
        <w:rPr>
          <w:b/>
          <w:bCs/>
        </w:rPr>
        <w:t>Exemption</w:t>
      </w:r>
      <w:r w:rsidR="00AE22A7" w:rsidRPr="006D733B">
        <w:rPr>
          <w:b/>
          <w:bCs/>
        </w:rPr>
        <w:t xml:space="preserve">   (s. </w:t>
      </w:r>
      <w:r w:rsidR="00F41CC9" w:rsidRPr="006D733B">
        <w:rPr>
          <w:b/>
          <w:bCs/>
        </w:rPr>
        <w:t>517.061(23))</w:t>
      </w:r>
    </w:p>
    <w:p w14:paraId="324DC268" w14:textId="5A888FF3" w:rsidR="00686172" w:rsidRDefault="00793DED" w:rsidP="004A5C25">
      <w:r>
        <w:t xml:space="preserve">The proposed bill adopts the Accredited Investor exemption developed by the </w:t>
      </w:r>
      <w:r w:rsidR="00BA7045">
        <w:t>North American</w:t>
      </w:r>
      <w:r>
        <w:t xml:space="preserve"> Securities Administrators</w:t>
      </w:r>
      <w:r w:rsidR="00BA7045">
        <w:t xml:space="preserve"> Association</w:t>
      </w:r>
      <w:r>
        <w:t>. Th</w:t>
      </w:r>
      <w:r w:rsidR="005C24F0">
        <w:t>is</w:t>
      </w:r>
      <w:r>
        <w:t xml:space="preserve"> state regis</w:t>
      </w:r>
      <w:r w:rsidR="005C24F0">
        <w:t xml:space="preserve">tration </w:t>
      </w:r>
      <w:r>
        <w:t>exemption has been adopted</w:t>
      </w:r>
      <w:r w:rsidR="005C24F0">
        <w:t xml:space="preserve"> by most states</w:t>
      </w:r>
      <w:r w:rsidR="00104CAB">
        <w:t xml:space="preserve">. It </w:t>
      </w:r>
      <w:r w:rsidR="008957A0">
        <w:t>is limited to accredited investors residing in the state, c</w:t>
      </w:r>
      <w:r w:rsidR="005E1367">
        <w:t>ontains substantial issuer disqualification provisions</w:t>
      </w:r>
      <w:r w:rsidR="00FF33AF">
        <w:t xml:space="preserve">, cannot be used by so-called “blank-check development companies,” </w:t>
      </w:r>
      <w:r w:rsidR="00CE6E52">
        <w:t xml:space="preserve">and </w:t>
      </w:r>
      <w:r w:rsidR="00986857">
        <w:t>substantially limits the resale of securities by purchasers</w:t>
      </w:r>
      <w:r w:rsidR="00CE6E52">
        <w:t xml:space="preserve">. The state exemption </w:t>
      </w:r>
      <w:r w:rsidR="00E31019">
        <w:t>avoids federal registration by qualifying under the federal exemption for intrastate of</w:t>
      </w:r>
      <w:r w:rsidR="00C71EC8">
        <w:t>ferings.</w:t>
      </w:r>
      <w:r w:rsidR="003F127F">
        <w:t xml:space="preserve"> </w:t>
      </w:r>
    </w:p>
    <w:p w14:paraId="1E6C4240" w14:textId="4B54100B" w:rsidR="00BF5737" w:rsidRDefault="00A21199" w:rsidP="004A5C25">
      <w:r>
        <w:lastRenderedPageBreak/>
        <w:t>M</w:t>
      </w:r>
      <w:r w:rsidR="00F6769C">
        <w:t xml:space="preserve">any companies raise capital through </w:t>
      </w:r>
      <w:r w:rsidR="004339A4">
        <w:t xml:space="preserve">SEC </w:t>
      </w:r>
      <w:r>
        <w:t xml:space="preserve">Rule 506, </w:t>
      </w:r>
      <w:r w:rsidR="00F6769C">
        <w:t>the federal</w:t>
      </w:r>
      <w:r w:rsidR="007B3DA6">
        <w:t xml:space="preserve"> private offering exemption that preempts state law</w:t>
      </w:r>
      <w:r>
        <w:t xml:space="preserve">. </w:t>
      </w:r>
      <w:r w:rsidR="00895F76">
        <w:t>Rule 506(b)</w:t>
      </w:r>
      <w:r>
        <w:t>, however,</w:t>
      </w:r>
      <w:r w:rsidR="00895F76">
        <w:t xml:space="preserve"> does not permit any form of general advertising or solicitation</w:t>
      </w:r>
      <w:r w:rsidR="007F012C">
        <w:t xml:space="preserve">. This can hinder a small company’s capacity to find accredited investors. The state </w:t>
      </w:r>
      <w:r w:rsidR="003F127F">
        <w:t>a</w:t>
      </w:r>
      <w:r w:rsidR="00C71EC8">
        <w:t xml:space="preserve">ccredited investor </w:t>
      </w:r>
      <w:r w:rsidR="007F012C">
        <w:t xml:space="preserve">exemption allows for </w:t>
      </w:r>
      <w:r w:rsidR="00324D82">
        <w:t>general advertising and solicitation under limited conditions. Rule 506(c)</w:t>
      </w:r>
      <w:r w:rsidR="00042C17">
        <w:t xml:space="preserve">, an alternative exemption, </w:t>
      </w:r>
      <w:r w:rsidR="00FE1982">
        <w:t>permit</w:t>
      </w:r>
      <w:r w:rsidR="00042C17">
        <w:t xml:space="preserve">s </w:t>
      </w:r>
      <w:r w:rsidR="00FE1982">
        <w:t xml:space="preserve">general advertising and solicitation, but that exemption </w:t>
      </w:r>
      <w:r w:rsidR="0027403A">
        <w:t xml:space="preserve">is relatively </w:t>
      </w:r>
      <w:r w:rsidR="00D82ED0">
        <w:t xml:space="preserve">under-utilized </w:t>
      </w:r>
      <w:r w:rsidR="00FE1982">
        <w:t xml:space="preserve">because of </w:t>
      </w:r>
      <w:r w:rsidR="00D82ED0">
        <w:t>its</w:t>
      </w:r>
      <w:r w:rsidR="00FE1982">
        <w:t xml:space="preserve"> stringent requirements for verifying the accredited investor status of </w:t>
      </w:r>
      <w:r w:rsidR="00D82ED0">
        <w:t xml:space="preserve">each </w:t>
      </w:r>
      <w:r w:rsidR="00FE1982">
        <w:t xml:space="preserve">purchaser. </w:t>
      </w:r>
    </w:p>
    <w:p w14:paraId="6E24C531" w14:textId="316E725D" w:rsidR="00F6769C" w:rsidRDefault="005C5E91" w:rsidP="004A5C25">
      <w:r>
        <w:t xml:space="preserve">The state </w:t>
      </w:r>
      <w:r w:rsidR="0055320A">
        <w:t>A</w:t>
      </w:r>
      <w:r>
        <w:t xml:space="preserve">ccredited </w:t>
      </w:r>
      <w:r w:rsidR="0055320A">
        <w:t>I</w:t>
      </w:r>
      <w:r>
        <w:t xml:space="preserve">nvestor exemption is </w:t>
      </w:r>
      <w:r w:rsidR="00E914B5">
        <w:t>conditioned on</w:t>
      </w:r>
      <w:r>
        <w:t xml:space="preserve"> </w:t>
      </w:r>
      <w:r w:rsidR="00E914B5">
        <w:t>the issuer’s, or issuer’s agent’s</w:t>
      </w:r>
      <w:r w:rsidR="00046CE7">
        <w:t>,</w:t>
      </w:r>
      <w:r>
        <w:t xml:space="preserve"> reasonable belief </w:t>
      </w:r>
      <w:r w:rsidR="00046CE7">
        <w:t>that the prospective purchaser is an accredited investor, which is the traditional Rule 506(b) standard.</w:t>
      </w:r>
      <w:r w:rsidR="004E2B9E">
        <w:t xml:space="preserve"> The </w:t>
      </w:r>
      <w:r w:rsidR="0055320A">
        <w:t>A</w:t>
      </w:r>
      <w:r w:rsidR="004E2B9E">
        <w:t xml:space="preserve">ccredited </w:t>
      </w:r>
      <w:r w:rsidR="0055320A">
        <w:t>I</w:t>
      </w:r>
      <w:r w:rsidR="004E2B9E">
        <w:t xml:space="preserve">nvestor exemption may therefore prove </w:t>
      </w:r>
      <w:r w:rsidR="004A7F16">
        <w:t xml:space="preserve">very </w:t>
      </w:r>
      <w:r w:rsidR="004E2B9E">
        <w:t xml:space="preserve">useful for local companies who </w:t>
      </w:r>
      <w:r w:rsidR="00DD4178">
        <w:t xml:space="preserve">need to engage in some </w:t>
      </w:r>
      <w:r w:rsidR="00D76BDD">
        <w:t xml:space="preserve">general </w:t>
      </w:r>
      <w:r w:rsidR="00DD4178">
        <w:t xml:space="preserve">advertising or solicitation in order to attract potential investors. </w:t>
      </w:r>
    </w:p>
    <w:p w14:paraId="1D0BC02C" w14:textId="62D9EA30" w:rsidR="001B1E99" w:rsidRDefault="001B1E99" w:rsidP="004A5C25">
      <w:r>
        <w:t xml:space="preserve">Adoption of the </w:t>
      </w:r>
      <w:r w:rsidR="00104CAB">
        <w:t>A</w:t>
      </w:r>
      <w:r>
        <w:t xml:space="preserve">ccredited </w:t>
      </w:r>
      <w:r w:rsidR="00104CAB">
        <w:t>I</w:t>
      </w:r>
      <w:r>
        <w:t xml:space="preserve">nvestor exemption also allows </w:t>
      </w:r>
      <w:r w:rsidR="00F44C5C">
        <w:t xml:space="preserve">both Florida and out-of-state </w:t>
      </w:r>
      <w:r>
        <w:t xml:space="preserve">issuers </w:t>
      </w:r>
      <w:r w:rsidR="005177DB">
        <w:t xml:space="preserve">that wish to </w:t>
      </w:r>
      <w:r w:rsidR="00A83C03">
        <w:t xml:space="preserve">take advantage of </w:t>
      </w:r>
      <w:r w:rsidR="00F44C5C">
        <w:t xml:space="preserve">the SEC </w:t>
      </w:r>
      <w:r>
        <w:t xml:space="preserve">Rule 504 federal exemption to </w:t>
      </w:r>
      <w:r w:rsidR="007855F8">
        <w:t xml:space="preserve">offer the securities to Florida residents </w:t>
      </w:r>
      <w:r w:rsidR="00F44C5C">
        <w:t xml:space="preserve">under the Accredited Investor exemption </w:t>
      </w:r>
      <w:r w:rsidR="00A83C03">
        <w:t>without the need to register the offering in Florida.</w:t>
      </w:r>
    </w:p>
    <w:p w14:paraId="149EF2E0" w14:textId="58E18F5A" w:rsidR="00221FD8" w:rsidRPr="00F41CC9" w:rsidRDefault="00221FD8" w:rsidP="00221FD8">
      <w:r>
        <w:t>3</w:t>
      </w:r>
      <w:r w:rsidRPr="00BF5737">
        <w:rPr>
          <w:b/>
          <w:bCs/>
        </w:rPr>
        <w:t>.</w:t>
      </w:r>
      <w:r w:rsidR="00BF5737" w:rsidRPr="00BF5737">
        <w:rPr>
          <w:b/>
          <w:bCs/>
        </w:rPr>
        <w:t xml:space="preserve">Amendments to </w:t>
      </w:r>
      <w:r w:rsidR="0058724A">
        <w:rPr>
          <w:b/>
          <w:bCs/>
        </w:rPr>
        <w:t xml:space="preserve">the </w:t>
      </w:r>
      <w:r w:rsidR="00BF5737" w:rsidRPr="00BF5737">
        <w:rPr>
          <w:b/>
          <w:bCs/>
        </w:rPr>
        <w:t>Current Limited Offering Exemption</w:t>
      </w:r>
      <w:r w:rsidR="00F41CC9">
        <w:rPr>
          <w:b/>
          <w:bCs/>
        </w:rPr>
        <w:t xml:space="preserve">   </w:t>
      </w:r>
      <w:r w:rsidR="00F41CC9" w:rsidRPr="006D733B">
        <w:rPr>
          <w:b/>
          <w:bCs/>
        </w:rPr>
        <w:t>(s. 517.061(11))</w:t>
      </w:r>
    </w:p>
    <w:p w14:paraId="58E898E9" w14:textId="19609DBA" w:rsidR="00F95C96" w:rsidRDefault="00076FAC" w:rsidP="00221FD8">
      <w:r>
        <w:t>The proposed bill makes two major changes to the exemption set forth in Ch. 517.061(11), Florida’s current limited offering exemption:</w:t>
      </w:r>
    </w:p>
    <w:p w14:paraId="708DEE18" w14:textId="4F1F97D4" w:rsidR="00BF5737" w:rsidRDefault="007E3F37" w:rsidP="00221FD8">
      <w:pPr>
        <w:pStyle w:val="ListParagraph"/>
        <w:numPr>
          <w:ilvl w:val="0"/>
          <w:numId w:val="8"/>
        </w:numPr>
      </w:pPr>
      <w:r w:rsidRPr="0055320A">
        <w:rPr>
          <w:b/>
          <w:bCs/>
        </w:rPr>
        <w:t>Integration</w:t>
      </w:r>
      <w:r>
        <w:t xml:space="preserve">: </w:t>
      </w:r>
      <w:r w:rsidR="00E248CE">
        <w:t>The provisions relating to the integration of the offering with other offerings have been eliminated</w:t>
      </w:r>
      <w:r w:rsidR="004D413C">
        <w:t xml:space="preserve">. Instead, the </w:t>
      </w:r>
      <w:r w:rsidR="00184F4C">
        <w:t xml:space="preserve">bill provides that the </w:t>
      </w:r>
      <w:r w:rsidR="004D413C">
        <w:t xml:space="preserve">Commission will adopt by rule new provisions that </w:t>
      </w:r>
      <w:r w:rsidR="00B93C0D">
        <w:t xml:space="preserve">are in substantial compliance with recently adopted SEC Rule 152. </w:t>
      </w:r>
      <w:r w:rsidR="00C365D9">
        <w:t xml:space="preserve">Rule 152 significantly reduces the threat </w:t>
      </w:r>
      <w:r w:rsidR="00062EDA">
        <w:t>to</w:t>
      </w:r>
      <w:r w:rsidR="00C365D9">
        <w:t xml:space="preserve"> companies</w:t>
      </w:r>
      <w:r w:rsidR="00062EDA">
        <w:t>, especially smaller ones that have continuing and sporadic needs for capit</w:t>
      </w:r>
      <w:r w:rsidR="0084241D">
        <w:t>a</w:t>
      </w:r>
      <w:r w:rsidR="00062EDA">
        <w:t>l,</w:t>
      </w:r>
      <w:r w:rsidR="00C365D9">
        <w:t xml:space="preserve"> that multiple offerings will be integrated as one</w:t>
      </w:r>
      <w:r w:rsidR="00885968">
        <w:t xml:space="preserve">, with the result that otherwise </w:t>
      </w:r>
      <w:r w:rsidR="0084241D">
        <w:t xml:space="preserve">distinct </w:t>
      </w:r>
      <w:r w:rsidR="00885968">
        <w:t xml:space="preserve">valid exempt offerings will be deemed in violation of the registration provisions. </w:t>
      </w:r>
      <w:r w:rsidR="00C365D9">
        <w:t xml:space="preserve"> </w:t>
      </w:r>
      <w:r w:rsidR="00DF394F">
        <w:t xml:space="preserve">The OFR’s proposed bill has an effective date of October 1, 2022, </w:t>
      </w:r>
      <w:r w:rsidR="0023456C">
        <w:t xml:space="preserve">which allows for considerable time for the Commissioner’s office to adopt </w:t>
      </w:r>
      <w:r>
        <w:t>reasonable integration guidelines along the lines of R</w:t>
      </w:r>
      <w:r w:rsidR="00B15926">
        <w:t>u</w:t>
      </w:r>
      <w:r>
        <w:t>le 152.</w:t>
      </w:r>
    </w:p>
    <w:p w14:paraId="632ECD80" w14:textId="77777777" w:rsidR="00BA7045" w:rsidRDefault="00BA7045" w:rsidP="00BA7045">
      <w:pPr>
        <w:pStyle w:val="ListParagraph"/>
      </w:pPr>
    </w:p>
    <w:p w14:paraId="3A0562F8" w14:textId="0A10700B" w:rsidR="007E3F37" w:rsidRDefault="00C0671D" w:rsidP="007E3F37">
      <w:pPr>
        <w:pStyle w:val="ListParagraph"/>
        <w:numPr>
          <w:ilvl w:val="0"/>
          <w:numId w:val="8"/>
        </w:numPr>
      </w:pPr>
      <w:r w:rsidRPr="0055320A">
        <w:rPr>
          <w:b/>
          <w:bCs/>
        </w:rPr>
        <w:t xml:space="preserve">Limited </w:t>
      </w:r>
      <w:r w:rsidR="005E024D" w:rsidRPr="0055320A">
        <w:rPr>
          <w:b/>
          <w:bCs/>
        </w:rPr>
        <w:t xml:space="preserve">“Demo Day” </w:t>
      </w:r>
      <w:r w:rsidR="005E4170" w:rsidRPr="0055320A">
        <w:rPr>
          <w:b/>
          <w:bCs/>
        </w:rPr>
        <w:t>Solicitation</w:t>
      </w:r>
      <w:r w:rsidR="005E4170">
        <w:t xml:space="preserve">: </w:t>
      </w:r>
      <w:r w:rsidR="007236E0">
        <w:t xml:space="preserve">Although the </w:t>
      </w:r>
      <w:r w:rsidR="00125BB7">
        <w:t>limited offering exemption prohibits “any form of general solicitation or general advertising</w:t>
      </w:r>
      <w:r>
        <w:t xml:space="preserve"> in this state,” the proposed bill </w:t>
      </w:r>
      <w:r w:rsidR="00BF5532">
        <w:t xml:space="preserve">allows for issuers to participate in “demo day” presentations in accordance with the provisions of recently adopted SEC Rule 148. </w:t>
      </w:r>
      <w:r w:rsidR="0050794E">
        <w:t>Th</w:t>
      </w:r>
      <w:r w:rsidR="00F55890">
        <w:t>e</w:t>
      </w:r>
      <w:r w:rsidR="0050794E">
        <w:t xml:space="preserve"> presentations can only be </w:t>
      </w:r>
      <w:r w:rsidR="00F55890">
        <w:t xml:space="preserve">at meetings </w:t>
      </w:r>
      <w:r w:rsidR="0050794E">
        <w:t xml:space="preserve">sponsored by </w:t>
      </w:r>
      <w:r w:rsidR="00A61371">
        <w:t>certain limited organizations, such as</w:t>
      </w:r>
      <w:r w:rsidR="00645E37">
        <w:t xml:space="preserve"> universities, state or local instrumentalities</w:t>
      </w:r>
      <w:r w:rsidR="00F55890">
        <w:t>, business incubators, or defined angel investor groups, must involve more than one issuer,</w:t>
      </w:r>
      <w:r w:rsidR="00BF5532">
        <w:t xml:space="preserve"> </w:t>
      </w:r>
      <w:r w:rsidR="00F55890">
        <w:t>issuer communications are strictly limited</w:t>
      </w:r>
      <w:r w:rsidR="005550F2">
        <w:t xml:space="preserve">, and there can be no </w:t>
      </w:r>
      <w:r w:rsidR="00502F32">
        <w:t>investment recommendations, advice</w:t>
      </w:r>
      <w:r w:rsidR="00F12F66">
        <w:t>,</w:t>
      </w:r>
      <w:r w:rsidR="00502F32">
        <w:t xml:space="preserve"> negotiations</w:t>
      </w:r>
      <w:r w:rsidR="0055320A">
        <w:t xml:space="preserve"> or commitments.</w:t>
      </w:r>
      <w:r w:rsidR="00502F32">
        <w:t xml:space="preserve"> </w:t>
      </w:r>
      <w:r w:rsidR="00F12F66">
        <w:t xml:space="preserve">The </w:t>
      </w:r>
      <w:r w:rsidR="001E0E79">
        <w:t xml:space="preserve">ability to engage in this limited form of public disclosure </w:t>
      </w:r>
      <w:r w:rsidR="00B15926">
        <w:t>is</w:t>
      </w:r>
      <w:r w:rsidR="001E0E79">
        <w:t xml:space="preserve"> important for smaller companies and start-ups trying to attract potential investors.</w:t>
      </w:r>
    </w:p>
    <w:p w14:paraId="46CF8026" w14:textId="77777777" w:rsidR="00FD5D6D" w:rsidRDefault="00FD5D6D" w:rsidP="00FD5D6D">
      <w:pPr>
        <w:pStyle w:val="ListParagraph"/>
      </w:pPr>
    </w:p>
    <w:p w14:paraId="358CF57B" w14:textId="1C9D8C35" w:rsidR="00305AD5" w:rsidRDefault="000F638C" w:rsidP="00305AD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(B) </w:t>
      </w:r>
      <w:r w:rsidR="00305AD5" w:rsidRPr="00305AD5">
        <w:rPr>
          <w:b/>
          <w:bCs/>
          <w:u w:val="single"/>
        </w:rPr>
        <w:t>Registration of Securities</w:t>
      </w:r>
    </w:p>
    <w:p w14:paraId="631884B3" w14:textId="6C94FADC" w:rsidR="00CC14BC" w:rsidRPr="00CC14BC" w:rsidRDefault="00CC14BC" w:rsidP="00305AD5">
      <w:r>
        <w:t xml:space="preserve">These proposals apply to offerings that are registered </w:t>
      </w:r>
      <w:r w:rsidR="002122C6">
        <w:t xml:space="preserve">in </w:t>
      </w:r>
      <w:r>
        <w:t>Florida</w:t>
      </w:r>
      <w:r w:rsidR="0015563F">
        <w:t xml:space="preserve">, including federally registered offerings and offerings that </w:t>
      </w:r>
      <w:r w:rsidR="00845C34">
        <w:t>are only state registered (such as registered intrastate offerings).</w:t>
      </w:r>
    </w:p>
    <w:p w14:paraId="0EAFA939" w14:textId="2CAE2F58" w:rsidR="000F638C" w:rsidRDefault="000F638C" w:rsidP="00305AD5">
      <w:pPr>
        <w:rPr>
          <w:b/>
          <w:bCs/>
        </w:rPr>
      </w:pPr>
      <w:r w:rsidRPr="000E3135">
        <w:rPr>
          <w:b/>
          <w:bCs/>
        </w:rPr>
        <w:lastRenderedPageBreak/>
        <w:t>1. Coordination with Other States</w:t>
      </w:r>
      <w:r w:rsidR="008D36FE">
        <w:rPr>
          <w:b/>
          <w:bCs/>
        </w:rPr>
        <w:t xml:space="preserve">   </w:t>
      </w:r>
      <w:r w:rsidR="00895590">
        <w:rPr>
          <w:b/>
          <w:bCs/>
        </w:rPr>
        <w:t>(s. 517.081(1))</w:t>
      </w:r>
    </w:p>
    <w:p w14:paraId="6A2C4136" w14:textId="09DED676" w:rsidR="000E3135" w:rsidRDefault="006035D5" w:rsidP="00305AD5">
      <w:r>
        <w:t xml:space="preserve">Federally registered offerings are </w:t>
      </w:r>
      <w:r w:rsidR="006B4B83">
        <w:t xml:space="preserve">also registered in every state where an offering will be made, </w:t>
      </w:r>
      <w:r w:rsidR="001A0970">
        <w:t xml:space="preserve">and each state has authority to review the offering under its merit review and other substantive standards. </w:t>
      </w:r>
      <w:r w:rsidR="003B3DFC">
        <w:t xml:space="preserve">The bill allows the Commission to adopt rules for the cooperation and coordination with other states in the review process of federally registered offerings. </w:t>
      </w:r>
      <w:r w:rsidR="00D85F21">
        <w:t xml:space="preserve">It is important for the issuer, and for each state, that there be some coordination among states </w:t>
      </w:r>
      <w:r w:rsidR="00462202">
        <w:t>to avoid duplication, costs</w:t>
      </w:r>
      <w:r w:rsidR="00385CD8">
        <w:t>, and timing concerns</w:t>
      </w:r>
      <w:r w:rsidR="009C3A45">
        <w:t>. M</w:t>
      </w:r>
      <w:r w:rsidR="00BA7045">
        <w:t>any</w:t>
      </w:r>
      <w:r w:rsidR="009C3A45">
        <w:t xml:space="preserve"> states have entered in</w:t>
      </w:r>
      <w:r w:rsidR="00960410">
        <w:t>to</w:t>
      </w:r>
      <w:r w:rsidR="009C3A45">
        <w:t xml:space="preserve"> </w:t>
      </w:r>
      <w:r w:rsidR="007B585A">
        <w:t xml:space="preserve">state </w:t>
      </w:r>
      <w:r w:rsidR="009C3A45">
        <w:t>coordinating processes</w:t>
      </w:r>
      <w:r w:rsidR="00D85F21">
        <w:t xml:space="preserve">, and the proposed </w:t>
      </w:r>
      <w:r w:rsidR="007B585A">
        <w:t>bill</w:t>
      </w:r>
      <w:r w:rsidR="00D85F21">
        <w:t xml:space="preserve"> </w:t>
      </w:r>
      <w:r w:rsidR="009C3A45">
        <w:t xml:space="preserve">allows </w:t>
      </w:r>
      <w:r w:rsidR="002B5F0D">
        <w:t>Florida to be part of the process. The proposal does not impact Florida’s ability to impose its own standards of review on the offering.</w:t>
      </w:r>
    </w:p>
    <w:p w14:paraId="62CC868A" w14:textId="0D5884EB" w:rsidR="00F27291" w:rsidRDefault="00437897" w:rsidP="00437897">
      <w:pPr>
        <w:rPr>
          <w:b/>
          <w:bCs/>
        </w:rPr>
      </w:pPr>
      <w:r>
        <w:rPr>
          <w:b/>
          <w:bCs/>
        </w:rPr>
        <w:t>2.</w:t>
      </w:r>
      <w:r w:rsidR="00F27291" w:rsidRPr="00437897">
        <w:rPr>
          <w:b/>
          <w:bCs/>
        </w:rPr>
        <w:t xml:space="preserve">Elimination of </w:t>
      </w:r>
      <w:r w:rsidR="002122C6">
        <w:rPr>
          <w:b/>
          <w:bCs/>
        </w:rPr>
        <w:t xml:space="preserve">the </w:t>
      </w:r>
      <w:r w:rsidR="00F27291" w:rsidRPr="00437897">
        <w:rPr>
          <w:b/>
          <w:bCs/>
        </w:rPr>
        <w:t>“fair, just and equitable” merit review standard</w:t>
      </w:r>
      <w:r w:rsidR="006D733B">
        <w:rPr>
          <w:b/>
          <w:bCs/>
        </w:rPr>
        <w:t xml:space="preserve">    </w:t>
      </w:r>
      <w:r w:rsidR="00005E9B">
        <w:rPr>
          <w:b/>
          <w:bCs/>
        </w:rPr>
        <w:t>(s. 517.081(7))</w:t>
      </w:r>
    </w:p>
    <w:p w14:paraId="4CFF589C" w14:textId="0FDAB8F9" w:rsidR="00B4384C" w:rsidRDefault="00E62588" w:rsidP="00B4384C">
      <w:r>
        <w:t>The bill eliminates the “fair, just, and equitable</w:t>
      </w:r>
      <w:r w:rsidR="00FD6130">
        <w:t xml:space="preserve">” standard as part of the review process for registered offerings. </w:t>
      </w:r>
      <w:r w:rsidR="00187E52">
        <w:t xml:space="preserve">Florida is among a minority of states that continues to have this ambiguous standard embodied in its statute. </w:t>
      </w:r>
      <w:r w:rsidR="00B4384C">
        <w:t>The “fair, just and equitable” has long been considered too vague to be a workable standard</w:t>
      </w:r>
      <w:r w:rsidR="00602110">
        <w:t>.</w:t>
      </w:r>
    </w:p>
    <w:p w14:paraId="031969F3" w14:textId="1DD8F6A9" w:rsidR="00437897" w:rsidRDefault="00602110" w:rsidP="00437897">
      <w:r>
        <w:t>Consistent with other states, th</w:t>
      </w:r>
      <w:r w:rsidR="005E5CD1">
        <w:t xml:space="preserve">e bill retains the ability of the </w:t>
      </w:r>
      <w:r w:rsidR="00451DF7">
        <w:t xml:space="preserve">OFR </w:t>
      </w:r>
      <w:r w:rsidR="005E5CD1">
        <w:t xml:space="preserve">to deny registration to offerings that fail to meet state-mandated disclosure standards or that the </w:t>
      </w:r>
      <w:r w:rsidR="00451DF7">
        <w:t>OFR</w:t>
      </w:r>
      <w:r w:rsidR="005E5CD1">
        <w:t xml:space="preserve"> believes may be fraudulent or tend to work a fraud on investors</w:t>
      </w:r>
      <w:r w:rsidR="00490E11">
        <w:t>. The commission is also authorized to adopt rules that relate to substantive</w:t>
      </w:r>
      <w:r w:rsidR="00CD5FA8">
        <w:t>, investor-protection aspects</w:t>
      </w:r>
      <w:r w:rsidR="00490E11">
        <w:t xml:space="preserve"> of the offering, such as </w:t>
      </w:r>
      <w:r w:rsidR="00295E14">
        <w:t xml:space="preserve">the </w:t>
      </w:r>
      <w:r w:rsidR="00E043B4">
        <w:t xml:space="preserve">relative </w:t>
      </w:r>
      <w:r w:rsidR="00295E14">
        <w:t>amount</w:t>
      </w:r>
      <w:r w:rsidR="00E043B4">
        <w:t>s</w:t>
      </w:r>
      <w:r w:rsidR="00295E14">
        <w:t xml:space="preserve"> of promoter </w:t>
      </w:r>
      <w:r w:rsidR="00E043B4">
        <w:t xml:space="preserve">and investor </w:t>
      </w:r>
      <w:r w:rsidR="00295E14">
        <w:t>e</w:t>
      </w:r>
      <w:r w:rsidR="008563C0">
        <w:t>quity</w:t>
      </w:r>
      <w:r w:rsidR="00E043B4">
        <w:t xml:space="preserve">. </w:t>
      </w:r>
      <w:r w:rsidR="008563C0">
        <w:t xml:space="preserve"> </w:t>
      </w:r>
      <w:r w:rsidR="00EF7D83">
        <w:t xml:space="preserve">Florida currently has in its Administrative Code several such provisions that conform to </w:t>
      </w:r>
      <w:r w:rsidR="00EE6360">
        <w:t>investor</w:t>
      </w:r>
      <w:r w:rsidR="00EF529F">
        <w:t xml:space="preserve"> </w:t>
      </w:r>
      <w:r w:rsidR="00EE6360">
        <w:t xml:space="preserve">protection standards adopted by the </w:t>
      </w:r>
      <w:r w:rsidR="00BA7045">
        <w:t>North American</w:t>
      </w:r>
      <w:r w:rsidR="00EE6360">
        <w:t xml:space="preserve"> Securities </w:t>
      </w:r>
      <w:r w:rsidR="00186AA4">
        <w:t>Administrators</w:t>
      </w:r>
      <w:r w:rsidR="00BA7045">
        <w:t xml:space="preserve"> Association</w:t>
      </w:r>
      <w:r w:rsidR="00186AA4">
        <w:t>.</w:t>
      </w:r>
    </w:p>
    <w:p w14:paraId="76672B70" w14:textId="2F74CE75" w:rsidR="002D7BC1" w:rsidRPr="002D7866" w:rsidRDefault="002D7866" w:rsidP="002D7866">
      <w:pPr>
        <w:rPr>
          <w:b/>
          <w:bCs/>
        </w:rPr>
      </w:pPr>
      <w:r>
        <w:rPr>
          <w:b/>
          <w:bCs/>
        </w:rPr>
        <w:t>3.</w:t>
      </w:r>
      <w:r w:rsidR="002D7BC1" w:rsidRPr="002D7866">
        <w:rPr>
          <w:b/>
          <w:bCs/>
        </w:rPr>
        <w:t>”Testing the Waters”</w:t>
      </w:r>
      <w:r w:rsidR="00240AE7">
        <w:rPr>
          <w:b/>
          <w:bCs/>
        </w:rPr>
        <w:t xml:space="preserve"> and </w:t>
      </w:r>
      <w:r w:rsidR="00BE7196">
        <w:rPr>
          <w:b/>
          <w:bCs/>
        </w:rPr>
        <w:t>“</w:t>
      </w:r>
      <w:r w:rsidR="00240AE7">
        <w:rPr>
          <w:b/>
          <w:bCs/>
        </w:rPr>
        <w:t xml:space="preserve">Demo Day” </w:t>
      </w:r>
      <w:r w:rsidR="00BE7196">
        <w:rPr>
          <w:b/>
          <w:bCs/>
        </w:rPr>
        <w:t>Communications</w:t>
      </w:r>
      <w:r w:rsidR="00005E9B">
        <w:rPr>
          <w:b/>
          <w:bCs/>
        </w:rPr>
        <w:t xml:space="preserve">  </w:t>
      </w:r>
      <w:r w:rsidR="00375DE4">
        <w:rPr>
          <w:b/>
          <w:bCs/>
        </w:rPr>
        <w:t xml:space="preserve"> (ss. 517.</w:t>
      </w:r>
      <w:r w:rsidR="00C84551">
        <w:rPr>
          <w:b/>
          <w:bCs/>
        </w:rPr>
        <w:t>081(11)-(12))</w:t>
      </w:r>
    </w:p>
    <w:p w14:paraId="61820899" w14:textId="0E84DD53" w:rsidR="001F041D" w:rsidRDefault="002D7BC1" w:rsidP="00437897">
      <w:r>
        <w:t>Consistent with recent SEC rules, the proposed bill all</w:t>
      </w:r>
      <w:r w:rsidR="00FB4179">
        <w:t>o</w:t>
      </w:r>
      <w:r>
        <w:t>ws issuers to “test the waters” by engaging in pre</w:t>
      </w:r>
      <w:r w:rsidR="00BC53E3">
        <w:t xml:space="preserve">-offering </w:t>
      </w:r>
      <w:r w:rsidR="00426FF7">
        <w:t xml:space="preserve">oral or written communications </w:t>
      </w:r>
      <w:r w:rsidR="00BC53E3">
        <w:t xml:space="preserve">with prospective investors to determine whether </w:t>
      </w:r>
      <w:r w:rsidR="008E26C4">
        <w:t xml:space="preserve">there is any interest in a contemplated securities offering. </w:t>
      </w:r>
      <w:r w:rsidR="00BE7196">
        <w:t>Th</w:t>
      </w:r>
      <w:r w:rsidR="005A671E">
        <w:t>e</w:t>
      </w:r>
      <w:r w:rsidR="00BE7196">
        <w:t xml:space="preserve"> </w:t>
      </w:r>
      <w:r w:rsidR="00CD4EC7">
        <w:t xml:space="preserve">ability to </w:t>
      </w:r>
      <w:r w:rsidR="004631C2">
        <w:t xml:space="preserve">determine in advance the likelihood of </w:t>
      </w:r>
      <w:r w:rsidR="001F041D">
        <w:t xml:space="preserve">investor reaction to </w:t>
      </w:r>
      <w:r w:rsidR="004631C2">
        <w:t xml:space="preserve">a contemplated offering </w:t>
      </w:r>
      <w:r w:rsidR="00486785">
        <w:t xml:space="preserve">can save a company from </w:t>
      </w:r>
      <w:r w:rsidR="001F041D">
        <w:t xml:space="preserve">the </w:t>
      </w:r>
      <w:r w:rsidR="00486785">
        <w:t>considerable time and expense</w:t>
      </w:r>
      <w:r w:rsidR="001F041D">
        <w:t xml:space="preserve"> of an unsuccessful offeri</w:t>
      </w:r>
      <w:r w:rsidR="00B27D2F">
        <w:t>ng.</w:t>
      </w:r>
      <w:r w:rsidR="009407ED" w:rsidRPr="009407ED">
        <w:t xml:space="preserve"> </w:t>
      </w:r>
      <w:r w:rsidR="009407ED">
        <w:t xml:space="preserve">There cannot be any solicitation or acceptance of money or other consideration, nor any commitment from any person to purchase the contemplated securities. </w:t>
      </w:r>
    </w:p>
    <w:p w14:paraId="756A04B5" w14:textId="73EDB919" w:rsidR="00B4384C" w:rsidRDefault="00DD2F5B" w:rsidP="00437897">
      <w:r>
        <w:t xml:space="preserve">The communication can also be made at a “demo day” presentation </w:t>
      </w:r>
      <w:r w:rsidR="006F30E8">
        <w:t xml:space="preserve">as described above </w:t>
      </w:r>
      <w:r w:rsidR="003414CF">
        <w:t>in Item A</w:t>
      </w:r>
      <w:r w:rsidR="00900C4F">
        <w:t xml:space="preserve">.3(2) </w:t>
      </w:r>
      <w:r w:rsidR="00762D14">
        <w:t xml:space="preserve">regarding the limited offering exemption. </w:t>
      </w:r>
      <w:r w:rsidR="00CE5221">
        <w:t xml:space="preserve">Both the “testing the waters” and “demo day” </w:t>
      </w:r>
      <w:r w:rsidR="00762D14">
        <w:t xml:space="preserve">communications are deemed to be an “offering” and </w:t>
      </w:r>
      <w:r w:rsidR="002D7866">
        <w:t>are</w:t>
      </w:r>
      <w:r w:rsidR="00762D14">
        <w:t xml:space="preserve"> therefore subject to the anti-fraud, civil and criminal penalty provisions set forth in Ch. 517.</w:t>
      </w:r>
      <w:r w:rsidR="00D17230">
        <w:t xml:space="preserve"> Misleading disclosures or omissions of material information made through such communications may therefore </w:t>
      </w:r>
      <w:r w:rsidR="00584C4E">
        <w:t xml:space="preserve">subject issuers to </w:t>
      </w:r>
      <w:r w:rsidR="00501A5F">
        <w:t>Fl</w:t>
      </w:r>
      <w:r w:rsidR="00D17230">
        <w:t>orida’s civil</w:t>
      </w:r>
      <w:r w:rsidR="005D0436">
        <w:t>, administrative</w:t>
      </w:r>
      <w:r w:rsidR="00D17230">
        <w:t xml:space="preserve"> </w:t>
      </w:r>
      <w:r w:rsidR="00501A5F">
        <w:t xml:space="preserve">and criminal lability </w:t>
      </w:r>
      <w:r w:rsidR="00D17230">
        <w:t>provisions.</w:t>
      </w:r>
    </w:p>
    <w:p w14:paraId="7B0C74D4" w14:textId="77777777" w:rsidR="00FD5D6D" w:rsidRDefault="00FD5D6D" w:rsidP="00437897"/>
    <w:p w14:paraId="00E9C644" w14:textId="519E0412" w:rsidR="00A9125C" w:rsidRDefault="00A9125C" w:rsidP="00437897">
      <w:pPr>
        <w:rPr>
          <w:b/>
          <w:bCs/>
          <w:u w:val="single"/>
        </w:rPr>
      </w:pPr>
      <w:r w:rsidRPr="00821CB2">
        <w:rPr>
          <w:b/>
          <w:bCs/>
          <w:u w:val="single"/>
        </w:rPr>
        <w:t>(C)</w:t>
      </w:r>
      <w:r w:rsidR="00821CB2">
        <w:rPr>
          <w:b/>
          <w:bCs/>
          <w:u w:val="single"/>
        </w:rPr>
        <w:t xml:space="preserve"> </w:t>
      </w:r>
      <w:r w:rsidR="00821CB2" w:rsidRPr="00821CB2">
        <w:rPr>
          <w:b/>
          <w:bCs/>
          <w:u w:val="single"/>
        </w:rPr>
        <w:t>Registration of Finders</w:t>
      </w:r>
      <w:r w:rsidR="00B75190">
        <w:rPr>
          <w:b/>
          <w:bCs/>
          <w:u w:val="single"/>
        </w:rPr>
        <w:t xml:space="preserve">   </w:t>
      </w:r>
      <w:r w:rsidR="00B75190" w:rsidRPr="00BC28B1">
        <w:rPr>
          <w:b/>
          <w:bCs/>
        </w:rPr>
        <w:t>(s. 517.12(20)</w:t>
      </w:r>
      <w:r w:rsidR="00BC28B1" w:rsidRPr="00BC28B1">
        <w:rPr>
          <w:b/>
          <w:bCs/>
        </w:rPr>
        <w:t>)</w:t>
      </w:r>
    </w:p>
    <w:p w14:paraId="0E66AE98" w14:textId="10CD343A" w:rsidR="00821CB2" w:rsidRDefault="00E07287" w:rsidP="00437897">
      <w:r>
        <w:t xml:space="preserve">The proposed bill </w:t>
      </w:r>
      <w:r w:rsidR="00486E11">
        <w:t xml:space="preserve">requires the registration of certain </w:t>
      </w:r>
      <w:r w:rsidR="006F06E8">
        <w:t xml:space="preserve">defined </w:t>
      </w:r>
      <w:r w:rsidR="00486E11">
        <w:t>“</w:t>
      </w:r>
      <w:r w:rsidR="007B585A">
        <w:t>F</w:t>
      </w:r>
      <w:r w:rsidR="00486E11">
        <w:t xml:space="preserve">inders” who are compensated by issuers to </w:t>
      </w:r>
      <w:r w:rsidR="002E02F1">
        <w:t xml:space="preserve">introduce or refer potential investors </w:t>
      </w:r>
      <w:r w:rsidR="00EF529F">
        <w:t xml:space="preserve">to issuers </w:t>
      </w:r>
      <w:r w:rsidR="00451DF7">
        <w:t>who the Finders reasonably believe to be accredited investors</w:t>
      </w:r>
      <w:r w:rsidR="00EF529F">
        <w:t xml:space="preserve">. </w:t>
      </w:r>
      <w:r w:rsidR="00EA1DC4">
        <w:t>Finders m</w:t>
      </w:r>
      <w:r w:rsidR="00597A1A">
        <w:t>ight</w:t>
      </w:r>
      <w:r w:rsidR="00EA1DC4">
        <w:t xml:space="preserve"> not be</w:t>
      </w:r>
      <w:r w:rsidR="001C4EC3">
        <w:t xml:space="preserve"> dealers or investment advisers who are registered with the state, as their limited activities m</w:t>
      </w:r>
      <w:r w:rsidR="00597A1A">
        <w:t>ight</w:t>
      </w:r>
      <w:r w:rsidR="001C4EC3">
        <w:t xml:space="preserve"> not require such registration. </w:t>
      </w:r>
      <w:r w:rsidR="00AA39C3">
        <w:t xml:space="preserve">Finders fall into a somewhat gray, </w:t>
      </w:r>
      <w:r w:rsidR="00AA39C3">
        <w:lastRenderedPageBreak/>
        <w:t xml:space="preserve">unregulated area. </w:t>
      </w:r>
      <w:r w:rsidR="001C4EC3">
        <w:t xml:space="preserve">Nevertheless, </w:t>
      </w:r>
      <w:r w:rsidR="00AA39C3">
        <w:t xml:space="preserve">because they assist the issuer in finding investors and are compensated by issuers for doing so, </w:t>
      </w:r>
      <w:r w:rsidR="00B43F35">
        <w:t xml:space="preserve">the proposed bill adopts registration and disclosure requirements </w:t>
      </w:r>
      <w:r w:rsidR="00AA39C3">
        <w:t>as investor protection measure</w:t>
      </w:r>
      <w:r w:rsidR="005A7154">
        <w:t>s</w:t>
      </w:r>
      <w:r w:rsidR="00B43F35">
        <w:t>.</w:t>
      </w:r>
      <w:r w:rsidR="00BA7045">
        <w:t xml:space="preserve"> The SEC has also expressed concern about the activities of unlicensed finders and has set forth proposals for regulation. Those proposals have not yet been adopted.</w:t>
      </w:r>
    </w:p>
    <w:p w14:paraId="5D9E83D5" w14:textId="197800BA" w:rsidR="00597A1A" w:rsidRDefault="000D79B0" w:rsidP="00437897">
      <w:r>
        <w:t xml:space="preserve">Finders are defined </w:t>
      </w:r>
      <w:r w:rsidR="005A7154">
        <w:t xml:space="preserve">in the bill </w:t>
      </w:r>
      <w:r>
        <w:t>to be natural persons or entities who</w:t>
      </w:r>
      <w:r w:rsidR="00DD4DAC">
        <w:t xml:space="preserve"> reside or do business in Florida</w:t>
      </w:r>
      <w:r w:rsidR="0036156D">
        <w:t xml:space="preserve"> and who receive compensation in connection with an </w:t>
      </w:r>
      <w:r w:rsidR="00762BD7">
        <w:t xml:space="preserve">issuer’s </w:t>
      </w:r>
      <w:r w:rsidR="0036156D">
        <w:t xml:space="preserve">offer of securities </w:t>
      </w:r>
      <w:r w:rsidR="007919BD">
        <w:t xml:space="preserve">to introduce or refer accredited investors </w:t>
      </w:r>
      <w:r w:rsidR="00762BD7">
        <w:t xml:space="preserve">to the issuer. </w:t>
      </w:r>
      <w:r w:rsidR="007D0A72">
        <w:t xml:space="preserve">Such persons must apply for and be </w:t>
      </w:r>
      <w:r w:rsidR="00451DF7">
        <w:t>approved</w:t>
      </w:r>
      <w:r w:rsidR="007D0A72">
        <w:t xml:space="preserve"> as registered </w:t>
      </w:r>
      <w:r w:rsidR="007B585A">
        <w:t>F</w:t>
      </w:r>
      <w:r w:rsidR="007D0A72">
        <w:t>inders in the state</w:t>
      </w:r>
      <w:r w:rsidR="007B585A">
        <w:t xml:space="preserve"> under a detailed application process</w:t>
      </w:r>
      <w:r w:rsidR="001B51B0">
        <w:t xml:space="preserve">. </w:t>
      </w:r>
      <w:r w:rsidR="00EF529F">
        <w:t xml:space="preserve">A </w:t>
      </w:r>
      <w:r w:rsidR="001B51B0">
        <w:t xml:space="preserve">Finder cannot make any </w:t>
      </w:r>
      <w:r w:rsidR="00B6219F">
        <w:t>statement regarding the value or advisability of the investment.</w:t>
      </w:r>
      <w:r w:rsidR="007D0A72">
        <w:t xml:space="preserve"> </w:t>
      </w:r>
      <w:r w:rsidR="002B1465">
        <w:t>The</w:t>
      </w:r>
      <w:r w:rsidR="00EF529F">
        <w:t xml:space="preserve"> Finder</w:t>
      </w:r>
      <w:r w:rsidR="007D0A72">
        <w:t xml:space="preserve"> must also </w:t>
      </w:r>
      <w:r w:rsidR="002B1465">
        <w:t xml:space="preserve">disclose </w:t>
      </w:r>
      <w:r w:rsidR="006645E4">
        <w:t>to persons they refer to the issuer</w:t>
      </w:r>
      <w:r w:rsidR="00777593">
        <w:t xml:space="preserve"> the </w:t>
      </w:r>
      <w:r w:rsidR="00D97A68">
        <w:t xml:space="preserve">type and amount of compensation </w:t>
      </w:r>
      <w:r w:rsidR="008850B1">
        <w:t xml:space="preserve">that has or will be paid to the </w:t>
      </w:r>
      <w:r w:rsidR="00805BD3">
        <w:t>F</w:t>
      </w:r>
      <w:r w:rsidR="008850B1">
        <w:t>inder in connection with the introduction or referral</w:t>
      </w:r>
      <w:r w:rsidR="00777593">
        <w:t>.</w:t>
      </w:r>
    </w:p>
    <w:p w14:paraId="51E34D49" w14:textId="527A2DA9" w:rsidR="00777593" w:rsidRDefault="00F154C2" w:rsidP="00437897">
      <w:r>
        <w:t xml:space="preserve">If adopted, Florida will be a leader among states in requiring the registration of </w:t>
      </w:r>
      <w:r w:rsidR="00805BD3">
        <w:t>F</w:t>
      </w:r>
      <w:r>
        <w:t xml:space="preserve">inders. </w:t>
      </w:r>
      <w:r w:rsidR="00C42F01">
        <w:t xml:space="preserve">While the current proposal is limited to specific types of investors, the </w:t>
      </w:r>
      <w:r w:rsidR="00805BD3">
        <w:t>C</w:t>
      </w:r>
      <w:r w:rsidR="00C42F01">
        <w:t>ommission</w:t>
      </w:r>
      <w:r w:rsidR="004D1024">
        <w:t>er</w:t>
      </w:r>
      <w:r w:rsidR="00C42F01">
        <w:t xml:space="preserve"> plans to </w:t>
      </w:r>
      <w:r w:rsidR="0003768E">
        <w:t>continue to examine the “</w:t>
      </w:r>
      <w:r w:rsidR="0055320A">
        <w:t>f</w:t>
      </w:r>
      <w:r w:rsidR="0003768E">
        <w:t>inder” issue and consider further registration requirements.</w:t>
      </w:r>
    </w:p>
    <w:p w14:paraId="39E2DC60" w14:textId="27A237F3" w:rsidR="00B43F35" w:rsidRDefault="00B43F35" w:rsidP="00437897"/>
    <w:p w14:paraId="15492D23" w14:textId="4E30A24E" w:rsidR="00CA4956" w:rsidRPr="00CA4956" w:rsidRDefault="00CA4956" w:rsidP="00437897">
      <w:pPr>
        <w:rPr>
          <w:b/>
          <w:bCs/>
          <w:u w:val="single"/>
        </w:rPr>
      </w:pPr>
      <w:r w:rsidRPr="00CA4956">
        <w:rPr>
          <w:b/>
          <w:bCs/>
          <w:u w:val="single"/>
        </w:rPr>
        <w:t>(D) Notice Filing</w:t>
      </w:r>
      <w:r w:rsidR="0026210E">
        <w:rPr>
          <w:b/>
          <w:bCs/>
          <w:u w:val="single"/>
        </w:rPr>
        <w:t xml:space="preserve">  (s. 517.083)</w:t>
      </w:r>
    </w:p>
    <w:p w14:paraId="5D95DAED" w14:textId="4B5E5CB1" w:rsidR="00B4384C" w:rsidRDefault="005C1322" w:rsidP="00437897">
      <w:r>
        <w:t>So-called “federal covered securities” listed in Section 18</w:t>
      </w:r>
      <w:r w:rsidR="00CD3190">
        <w:t>(b) of the 1933 Securities Act are exempt from state registration</w:t>
      </w:r>
      <w:r w:rsidR="009E313E">
        <w:t xml:space="preserve">. The offerings are not, however, </w:t>
      </w:r>
      <w:r w:rsidR="00852CDA">
        <w:t xml:space="preserve">exempt from state </w:t>
      </w:r>
      <w:r w:rsidR="00805BD3">
        <w:t xml:space="preserve">filing and </w:t>
      </w:r>
      <w:r w:rsidR="00852CDA">
        <w:t xml:space="preserve">anti-fraud laws. The proposed bill requires </w:t>
      </w:r>
      <w:r w:rsidR="00C2609C">
        <w:t xml:space="preserve">that </w:t>
      </w:r>
      <w:r w:rsidR="007729FA">
        <w:t>notifications</w:t>
      </w:r>
      <w:r w:rsidR="005C0CE4">
        <w:t xml:space="preserve"> and </w:t>
      </w:r>
      <w:r w:rsidR="007729FA">
        <w:t xml:space="preserve">prescribed </w:t>
      </w:r>
      <w:r w:rsidR="005C0CE4">
        <w:t xml:space="preserve">documents </w:t>
      </w:r>
      <w:r w:rsidR="007729FA">
        <w:t xml:space="preserve">be filed </w:t>
      </w:r>
      <w:r w:rsidR="005C0CE4">
        <w:t xml:space="preserve">with </w:t>
      </w:r>
      <w:r w:rsidR="00805BD3">
        <w:t xml:space="preserve">the </w:t>
      </w:r>
      <w:r w:rsidR="004D1024">
        <w:t xml:space="preserve">OFR </w:t>
      </w:r>
      <w:r w:rsidR="00805BD3">
        <w:t xml:space="preserve">for </w:t>
      </w:r>
      <w:r w:rsidR="007C6D0A">
        <w:t xml:space="preserve">certain </w:t>
      </w:r>
      <w:r w:rsidR="007729FA">
        <w:t xml:space="preserve">offerings </w:t>
      </w:r>
      <w:r w:rsidR="009D3D82">
        <w:t>of federal c</w:t>
      </w:r>
      <w:r w:rsidR="007C6D0A">
        <w:t xml:space="preserve">overed </w:t>
      </w:r>
      <w:r w:rsidR="009E313E">
        <w:t>securities</w:t>
      </w:r>
      <w:r w:rsidR="00472862">
        <w:t xml:space="preserve">, including </w:t>
      </w:r>
      <w:r w:rsidR="009C2369">
        <w:t>the issuer’s</w:t>
      </w:r>
      <w:r w:rsidR="00472862">
        <w:t xml:space="preserve"> consent to service of process</w:t>
      </w:r>
      <w:r w:rsidR="00805BD3">
        <w:t xml:space="preserve">. The </w:t>
      </w:r>
      <w:r w:rsidR="004D1024">
        <w:t xml:space="preserve">OFR </w:t>
      </w:r>
      <w:r w:rsidR="00805BD3">
        <w:t xml:space="preserve">is given </w:t>
      </w:r>
      <w:r w:rsidR="00F02597">
        <w:t xml:space="preserve">authority to suspend the sale of such securities if there is a failure to comply with </w:t>
      </w:r>
      <w:r w:rsidR="00805BD3">
        <w:t xml:space="preserve">the filing and </w:t>
      </w:r>
      <w:r w:rsidR="00F02597">
        <w:t>noti</w:t>
      </w:r>
      <w:r w:rsidR="00805BD3">
        <w:t xml:space="preserve">fication </w:t>
      </w:r>
      <w:r w:rsidR="00F02597">
        <w:t>requirements.</w:t>
      </w:r>
      <w:r w:rsidR="00B67684">
        <w:t xml:space="preserve"> The information obtained will also be used by the </w:t>
      </w:r>
      <w:r w:rsidR="00805BD3">
        <w:t>C</w:t>
      </w:r>
      <w:r w:rsidR="00B67684">
        <w:t xml:space="preserve">ommission to determine the amount </w:t>
      </w:r>
      <w:r w:rsidR="0059641B">
        <w:t xml:space="preserve">of any fees that may be owed to the state by issuers. </w:t>
      </w:r>
    </w:p>
    <w:p w14:paraId="76FC9DF3" w14:textId="77777777" w:rsidR="00FD5D6D" w:rsidRDefault="00FD5D6D" w:rsidP="00437897"/>
    <w:p w14:paraId="01991893" w14:textId="7B7BAF59" w:rsidR="00676901" w:rsidRDefault="00040C10" w:rsidP="00676901">
      <w:pPr>
        <w:rPr>
          <w:b/>
          <w:bCs/>
          <w:u w:val="single"/>
        </w:rPr>
      </w:pPr>
      <w:r>
        <w:rPr>
          <w:b/>
          <w:bCs/>
          <w:u w:val="single"/>
        </w:rPr>
        <w:t>(</w:t>
      </w:r>
      <w:r w:rsidR="00676901">
        <w:rPr>
          <w:b/>
          <w:bCs/>
          <w:u w:val="single"/>
        </w:rPr>
        <w:t>E</w:t>
      </w:r>
      <w:r>
        <w:rPr>
          <w:b/>
          <w:bCs/>
          <w:u w:val="single"/>
        </w:rPr>
        <w:t>)</w:t>
      </w:r>
      <w:r w:rsidR="003D7B31">
        <w:rPr>
          <w:b/>
          <w:bCs/>
          <w:u w:val="single"/>
        </w:rPr>
        <w:t xml:space="preserve"> </w:t>
      </w:r>
      <w:r w:rsidR="00676901" w:rsidRPr="00676901">
        <w:rPr>
          <w:b/>
          <w:bCs/>
          <w:u w:val="single"/>
        </w:rPr>
        <w:t>Enforcement Provisions</w:t>
      </w:r>
    </w:p>
    <w:p w14:paraId="7EEF6591" w14:textId="48A78984" w:rsidR="003D7B31" w:rsidRPr="00E817E0" w:rsidRDefault="003862DE" w:rsidP="00676901">
      <w:r>
        <w:t>1</w:t>
      </w:r>
      <w:r w:rsidRPr="003862DE">
        <w:rPr>
          <w:b/>
          <w:bCs/>
        </w:rPr>
        <w:t>. Control Person Liability</w:t>
      </w:r>
      <w:r w:rsidR="007644B3">
        <w:rPr>
          <w:b/>
          <w:bCs/>
        </w:rPr>
        <w:t xml:space="preserve"> </w:t>
      </w:r>
      <w:r w:rsidR="00E817E0">
        <w:rPr>
          <w:b/>
          <w:bCs/>
        </w:rPr>
        <w:t xml:space="preserve">  </w:t>
      </w:r>
      <w:r w:rsidR="00E817E0" w:rsidRPr="00CE62E7">
        <w:rPr>
          <w:b/>
          <w:bCs/>
        </w:rPr>
        <w:t>(517.191(4))</w:t>
      </w:r>
    </w:p>
    <w:p w14:paraId="27279819" w14:textId="2DB03E81" w:rsidR="003862DE" w:rsidRDefault="00692B1F" w:rsidP="00676901">
      <w:r>
        <w:t>The bill</w:t>
      </w:r>
      <w:r w:rsidR="00497CE3">
        <w:t xml:space="preserve"> authoriz</w:t>
      </w:r>
      <w:r w:rsidR="00ED1273">
        <w:t>es</w:t>
      </w:r>
      <w:r w:rsidR="00497CE3">
        <w:t xml:space="preserve"> to the </w:t>
      </w:r>
      <w:r w:rsidR="004D1024">
        <w:t>OFR</w:t>
      </w:r>
      <w:r w:rsidR="00411584">
        <w:t xml:space="preserve"> </w:t>
      </w:r>
      <w:r w:rsidR="00497CE3">
        <w:t>to bring enforcement actions against</w:t>
      </w:r>
      <w:r w:rsidR="0021432F">
        <w:t xml:space="preserve"> control persons</w:t>
      </w:r>
      <w:r w:rsidR="00E46EEB">
        <w:t xml:space="preserve"> for violations by controlled persons unless the control person </w:t>
      </w:r>
      <w:r w:rsidR="00387355">
        <w:t xml:space="preserve">acted in good faith </w:t>
      </w:r>
      <w:r w:rsidR="00321701">
        <w:t xml:space="preserve">and did not directly or indirectly induce the acts that violated the statute. </w:t>
      </w:r>
    </w:p>
    <w:p w14:paraId="7BF98368" w14:textId="732AB67B" w:rsidR="008F59D3" w:rsidRPr="00CE62E7" w:rsidRDefault="008F59D3" w:rsidP="008F59D3">
      <w:pPr>
        <w:rPr>
          <w:b/>
          <w:bCs/>
        </w:rPr>
      </w:pPr>
      <w:r>
        <w:t>2</w:t>
      </w:r>
      <w:r w:rsidRPr="00E817E0">
        <w:rPr>
          <w:b/>
          <w:bCs/>
        </w:rPr>
        <w:t>.Aiding and Abetting Liability</w:t>
      </w:r>
      <w:r w:rsidR="007644B3">
        <w:rPr>
          <w:b/>
          <w:bCs/>
        </w:rPr>
        <w:t xml:space="preserve"> </w:t>
      </w:r>
      <w:r>
        <w:t xml:space="preserve">  </w:t>
      </w:r>
      <w:r w:rsidR="00E817E0" w:rsidRPr="00CE62E7">
        <w:rPr>
          <w:b/>
          <w:bCs/>
        </w:rPr>
        <w:t>(517.191(4))</w:t>
      </w:r>
    </w:p>
    <w:p w14:paraId="25D344E1" w14:textId="00762DC5" w:rsidR="00B21E0F" w:rsidRDefault="00B21E0F" w:rsidP="008F59D3">
      <w:r>
        <w:t xml:space="preserve">The bill </w:t>
      </w:r>
      <w:r w:rsidR="00247851">
        <w:t xml:space="preserve">authorizes </w:t>
      </w:r>
      <w:r>
        <w:t xml:space="preserve">the </w:t>
      </w:r>
      <w:r w:rsidR="004D1024">
        <w:t xml:space="preserve">OFR </w:t>
      </w:r>
      <w:r>
        <w:t xml:space="preserve">to bring enforcement actions against any person who </w:t>
      </w:r>
      <w:r w:rsidR="00C31A9A">
        <w:t>knowingly</w:t>
      </w:r>
      <w:r>
        <w:t xml:space="preserve"> or </w:t>
      </w:r>
      <w:r w:rsidR="00C31A9A">
        <w:t>recklessly</w:t>
      </w:r>
      <w:r>
        <w:t xml:space="preserve"> </w:t>
      </w:r>
      <w:r w:rsidR="00C31A9A">
        <w:t xml:space="preserve">provides substantial assistance </w:t>
      </w:r>
      <w:r w:rsidR="00017945">
        <w:t>to another person in violation of the statute.</w:t>
      </w:r>
    </w:p>
    <w:p w14:paraId="7212C68B" w14:textId="317FF698" w:rsidR="00017945" w:rsidRDefault="00994E3B" w:rsidP="00994E3B">
      <w:r w:rsidRPr="00994E3B">
        <w:rPr>
          <w:b/>
          <w:bCs/>
        </w:rPr>
        <w:t>3.Recovery of Attorney’s Fees</w:t>
      </w:r>
      <w:r>
        <w:rPr>
          <w:b/>
          <w:bCs/>
        </w:rPr>
        <w:t xml:space="preserve">   </w:t>
      </w:r>
      <w:r>
        <w:t>(517.</w:t>
      </w:r>
      <w:r w:rsidR="00D74047">
        <w:t>191(5))</w:t>
      </w:r>
    </w:p>
    <w:p w14:paraId="1523F013" w14:textId="3B6AEEB0" w:rsidR="00D74047" w:rsidRDefault="00D74047" w:rsidP="00994E3B">
      <w:r>
        <w:t xml:space="preserve">The bill allows the </w:t>
      </w:r>
      <w:r w:rsidR="004D1024">
        <w:t xml:space="preserve">OFR </w:t>
      </w:r>
      <w:r>
        <w:t xml:space="preserve">to recover costs and attorney fees related to the investigation </w:t>
      </w:r>
      <w:r w:rsidR="001F7872">
        <w:t xml:space="preserve">or enforcement of </w:t>
      </w:r>
      <w:r w:rsidR="00534CD7">
        <w:t>the statute.</w:t>
      </w:r>
    </w:p>
    <w:p w14:paraId="5E239744" w14:textId="166F05FD" w:rsidR="00395744" w:rsidRDefault="00395744" w:rsidP="00994E3B"/>
    <w:p w14:paraId="3C457F2C" w14:textId="4CC889D2" w:rsidR="00395744" w:rsidRPr="00DF32C6" w:rsidRDefault="00FD5D6D" w:rsidP="00FD5D6D">
      <w:r>
        <w:rPr>
          <w:b/>
          <w:bCs/>
          <w:u w:val="single"/>
        </w:rPr>
        <w:lastRenderedPageBreak/>
        <w:t xml:space="preserve">(F). </w:t>
      </w:r>
      <w:r w:rsidR="00395744" w:rsidRPr="00FD5D6D">
        <w:rPr>
          <w:b/>
          <w:bCs/>
          <w:u w:val="single"/>
        </w:rPr>
        <w:t>Definition Amendments</w:t>
      </w:r>
      <w:r w:rsidR="00DD0C0F" w:rsidRPr="00FD5D6D">
        <w:rPr>
          <w:b/>
          <w:bCs/>
          <w:u w:val="single"/>
        </w:rPr>
        <w:t xml:space="preserve">   (s. 517.021)</w:t>
      </w:r>
    </w:p>
    <w:p w14:paraId="4BE30A19" w14:textId="77777777" w:rsidR="00496A41" w:rsidRDefault="00DF32C6" w:rsidP="008F59D3">
      <w:r w:rsidRPr="00DF32C6">
        <w:t>The</w:t>
      </w:r>
      <w:r>
        <w:t xml:space="preserve"> proposed bill </w:t>
      </w:r>
      <w:r w:rsidR="00DD0C0F">
        <w:t>adds several new terms to the definitions section</w:t>
      </w:r>
      <w:r w:rsidR="00496A41">
        <w:t xml:space="preserve"> and clarifies existing definitions.</w:t>
      </w:r>
    </w:p>
    <w:p w14:paraId="67DD3345" w14:textId="74E7FB3D" w:rsidR="00E817E0" w:rsidRDefault="00496A41" w:rsidP="00C21BB5">
      <w:pPr>
        <w:ind w:left="720"/>
        <w:rPr>
          <w:b/>
          <w:bCs/>
        </w:rPr>
      </w:pPr>
      <w:r w:rsidRPr="00496A41">
        <w:rPr>
          <w:b/>
          <w:bCs/>
        </w:rPr>
        <w:t xml:space="preserve">New Terms </w:t>
      </w:r>
    </w:p>
    <w:p w14:paraId="2C576581" w14:textId="1A281A04" w:rsidR="00A94DD2" w:rsidRPr="00C21BB5" w:rsidRDefault="00A94DD2" w:rsidP="00C21BB5">
      <w:pPr>
        <w:ind w:left="720"/>
      </w:pPr>
      <w:r w:rsidRPr="00C21BB5">
        <w:t xml:space="preserve">(a) </w:t>
      </w:r>
      <w:r w:rsidR="000E5F47">
        <w:t>“</w:t>
      </w:r>
      <w:r w:rsidRPr="00C21BB5">
        <w:t>Accredited Investor</w:t>
      </w:r>
      <w:r w:rsidR="000E5F47">
        <w:t>”</w:t>
      </w:r>
      <w:r w:rsidR="00317D6D">
        <w:t xml:space="preserve">   s. 517.021(1)</w:t>
      </w:r>
    </w:p>
    <w:p w14:paraId="705485BC" w14:textId="5B4B9C4F" w:rsidR="004C1C76" w:rsidRPr="00C21BB5" w:rsidRDefault="004C1C76" w:rsidP="00C21BB5">
      <w:pPr>
        <w:ind w:left="720"/>
      </w:pPr>
      <w:r w:rsidRPr="00C21BB5">
        <w:t>(</w:t>
      </w:r>
      <w:r w:rsidR="00344536">
        <w:t>b</w:t>
      </w:r>
      <w:r w:rsidRPr="00C21BB5">
        <w:t>) “Control person”   517.021(</w:t>
      </w:r>
      <w:r w:rsidR="00805BD3">
        <w:t>8</w:t>
      </w:r>
      <w:r w:rsidRPr="00C21BB5">
        <w:t>)</w:t>
      </w:r>
    </w:p>
    <w:p w14:paraId="1481152A" w14:textId="413B3C5F" w:rsidR="00B95ED0" w:rsidRDefault="00B95ED0" w:rsidP="00C21BB5">
      <w:pPr>
        <w:ind w:left="720"/>
      </w:pPr>
      <w:r w:rsidRPr="00C21BB5">
        <w:t>(</w:t>
      </w:r>
      <w:r w:rsidR="00344536">
        <w:t>c</w:t>
      </w:r>
      <w:r w:rsidRPr="00C21BB5">
        <w:t>) “Finder”     517.021(1</w:t>
      </w:r>
      <w:r w:rsidR="000B1E86">
        <w:t>2</w:t>
      </w:r>
      <w:r w:rsidRPr="00C21BB5">
        <w:t>)</w:t>
      </w:r>
    </w:p>
    <w:p w14:paraId="1887E580" w14:textId="4AD5DDC9" w:rsidR="00805BD3" w:rsidRPr="00C21BB5" w:rsidRDefault="00805BD3" w:rsidP="00C21BB5">
      <w:pPr>
        <w:ind w:left="720"/>
      </w:pPr>
      <w:r>
        <w:t>(d) “Natural person”   517.021(18)</w:t>
      </w:r>
    </w:p>
    <w:p w14:paraId="65DB7855" w14:textId="72696718" w:rsidR="00A73F13" w:rsidRDefault="00A73F13" w:rsidP="00C21BB5">
      <w:pPr>
        <w:ind w:left="720"/>
      </w:pPr>
      <w:r w:rsidRPr="00C21BB5">
        <w:t>(</w:t>
      </w:r>
      <w:r w:rsidR="00805BD3">
        <w:t>e</w:t>
      </w:r>
      <w:r w:rsidRPr="00C21BB5">
        <w:t>) “Office”    517.021</w:t>
      </w:r>
      <w:r w:rsidR="00C21BB5" w:rsidRPr="00C21BB5">
        <w:t>(</w:t>
      </w:r>
      <w:r w:rsidR="00805BD3">
        <w:t>20</w:t>
      </w:r>
      <w:r w:rsidR="00C21BB5" w:rsidRPr="00C21BB5">
        <w:t>)</w:t>
      </w:r>
    </w:p>
    <w:p w14:paraId="50A4E5F3" w14:textId="5C0DF1E7" w:rsidR="00805BD3" w:rsidRDefault="00805BD3" w:rsidP="00C21BB5">
      <w:pPr>
        <w:ind w:left="720"/>
      </w:pPr>
      <w:r>
        <w:t>(f) “Person”   517.021(21)</w:t>
      </w:r>
    </w:p>
    <w:p w14:paraId="3D0AAA12" w14:textId="0D9DB7CC" w:rsidR="008043AD" w:rsidRDefault="008043AD" w:rsidP="00C21BB5">
      <w:pPr>
        <w:ind w:left="720"/>
        <w:rPr>
          <w:b/>
          <w:bCs/>
        </w:rPr>
      </w:pPr>
      <w:r>
        <w:rPr>
          <w:b/>
          <w:bCs/>
        </w:rPr>
        <w:t>Amended Terms</w:t>
      </w:r>
    </w:p>
    <w:p w14:paraId="34A05604" w14:textId="1351CECD" w:rsidR="008043AD" w:rsidRDefault="00192148" w:rsidP="00C21BB5">
      <w:pPr>
        <w:ind w:left="720"/>
      </w:pPr>
      <w:r w:rsidRPr="00C21BB5">
        <w:t>(a) “Associated Person”  s. 517.021(</w:t>
      </w:r>
      <w:r w:rsidR="002F3ECF">
        <w:t>3</w:t>
      </w:r>
      <w:r w:rsidRPr="00C21BB5">
        <w:t>)</w:t>
      </w:r>
      <w:r w:rsidR="00A0698E" w:rsidRPr="00C21BB5">
        <w:t xml:space="preserve">   </w:t>
      </w:r>
    </w:p>
    <w:p w14:paraId="5B369D8C" w14:textId="75D71AEB" w:rsidR="00A23B13" w:rsidRDefault="00A23B13" w:rsidP="00C21BB5">
      <w:pPr>
        <w:ind w:left="720"/>
      </w:pPr>
      <w:r w:rsidRPr="00C21BB5">
        <w:t>(b) “Dealer”     s. 517.021(</w:t>
      </w:r>
      <w:r w:rsidR="00317D6D">
        <w:t>9</w:t>
      </w:r>
      <w:r w:rsidRPr="00C21BB5">
        <w:t xml:space="preserve">)   </w:t>
      </w:r>
    </w:p>
    <w:p w14:paraId="3148EC1C" w14:textId="7E04A762" w:rsidR="00AB1A64" w:rsidRPr="00C21BB5" w:rsidRDefault="00116B89" w:rsidP="00C21BB5">
      <w:pPr>
        <w:ind w:left="720"/>
      </w:pPr>
      <w:r>
        <w:t>(b) “Intermediary”   s. 517.021(15)</w:t>
      </w:r>
    </w:p>
    <w:p w14:paraId="2ACB9F78" w14:textId="0AA1FD1A" w:rsidR="000760A2" w:rsidRDefault="000760A2" w:rsidP="00C21BB5">
      <w:pPr>
        <w:ind w:left="720"/>
      </w:pPr>
      <w:r w:rsidRPr="00C21BB5">
        <w:t>(c) “Investment Adviser”   s. 517.021</w:t>
      </w:r>
      <w:r w:rsidR="00A73F13" w:rsidRPr="00C21BB5">
        <w:t>(1</w:t>
      </w:r>
      <w:r w:rsidR="00116B89">
        <w:t>6</w:t>
      </w:r>
      <w:r w:rsidR="00A73F13" w:rsidRPr="00C21BB5">
        <w:t>)</w:t>
      </w:r>
    </w:p>
    <w:p w14:paraId="445B9C63" w14:textId="12342E08" w:rsidR="005A40D2" w:rsidRDefault="00590859" w:rsidP="00590859">
      <w:pPr>
        <w:rPr>
          <w:b/>
          <w:bCs/>
          <w:u w:val="single"/>
        </w:rPr>
      </w:pPr>
      <w:r w:rsidRPr="00590859">
        <w:rPr>
          <w:b/>
          <w:bCs/>
          <w:u w:val="single"/>
        </w:rPr>
        <w:t>Miscellaneous Additional Changes</w:t>
      </w:r>
    </w:p>
    <w:p w14:paraId="76D6B1CF" w14:textId="2C837588" w:rsidR="00590859" w:rsidRDefault="00590859" w:rsidP="00590859">
      <w:r>
        <w:t>The proposed bill contains numerous other changes to Ch. 517 that are less substantial but</w:t>
      </w:r>
      <w:r w:rsidR="00EF529F">
        <w:t xml:space="preserve"> also</w:t>
      </w:r>
      <w:r>
        <w:t xml:space="preserve"> </w:t>
      </w:r>
      <w:r w:rsidR="004B782B">
        <w:t>salutary. Among such changes are</w:t>
      </w:r>
    </w:p>
    <w:p w14:paraId="4257DF86" w14:textId="41DC4BBB" w:rsidR="004B782B" w:rsidRDefault="004B782B" w:rsidP="004B782B">
      <w:pPr>
        <w:pStyle w:val="ListParagraph"/>
        <w:numPr>
          <w:ilvl w:val="0"/>
          <w:numId w:val="12"/>
        </w:numPr>
      </w:pPr>
      <w:r>
        <w:t xml:space="preserve">Reduction from 15 to 6 </w:t>
      </w:r>
      <w:r w:rsidR="00805BD3">
        <w:t xml:space="preserve">in </w:t>
      </w:r>
      <w:r>
        <w:t>the number o</w:t>
      </w:r>
      <w:r w:rsidR="00483086">
        <w:t xml:space="preserve">f </w:t>
      </w:r>
      <w:r>
        <w:t>clients</w:t>
      </w:r>
      <w:r w:rsidR="006D2A72">
        <w:t xml:space="preserve"> a person can have </w:t>
      </w:r>
      <w:r w:rsidR="00FD5282">
        <w:t>without having to register as an investment adviser</w:t>
      </w:r>
      <w:r w:rsidR="001C5A6F">
        <w:t>.</w:t>
      </w:r>
      <w:r w:rsidR="0022485E">
        <w:t xml:space="preserve"> This conforms to the National Securities Markets Improvement Act.</w:t>
      </w:r>
    </w:p>
    <w:p w14:paraId="552E0DFA" w14:textId="79B04FD6" w:rsidR="001C5A6F" w:rsidRDefault="00054144" w:rsidP="004B782B">
      <w:pPr>
        <w:pStyle w:val="ListParagraph"/>
        <w:numPr>
          <w:ilvl w:val="0"/>
          <w:numId w:val="12"/>
        </w:numPr>
      </w:pPr>
      <w:r>
        <w:t>Elimination of “issuer” from the definition of “dealer</w:t>
      </w:r>
      <w:r w:rsidR="0022485E">
        <w:t>,” a</w:t>
      </w:r>
      <w:r w:rsidR="006A508D">
        <w:t xml:space="preserve">n unusual </w:t>
      </w:r>
      <w:r w:rsidR="00805BD3">
        <w:t xml:space="preserve">and unnecessary licensing requirement. </w:t>
      </w:r>
    </w:p>
    <w:p w14:paraId="23CEF481" w14:textId="17335C38" w:rsidR="006A508D" w:rsidRDefault="008D272E" w:rsidP="004B782B">
      <w:pPr>
        <w:pStyle w:val="ListParagraph"/>
        <w:numPr>
          <w:ilvl w:val="0"/>
          <w:numId w:val="12"/>
        </w:numPr>
      </w:pPr>
      <w:r>
        <w:t xml:space="preserve">Inclusion of </w:t>
      </w:r>
      <w:r w:rsidR="00805BD3">
        <w:t xml:space="preserve">references to </w:t>
      </w:r>
      <w:r w:rsidR="002E5682">
        <w:t>limited liability companies and managers in various registration and disclosure provisions.</w:t>
      </w:r>
    </w:p>
    <w:p w14:paraId="06D7C98D" w14:textId="5C6CB0FB" w:rsidR="00773A18" w:rsidRDefault="00773A18" w:rsidP="004B782B">
      <w:pPr>
        <w:pStyle w:val="ListParagraph"/>
        <w:numPr>
          <w:ilvl w:val="0"/>
          <w:numId w:val="12"/>
        </w:numPr>
      </w:pPr>
      <w:r>
        <w:t>Eliminat</w:t>
      </w:r>
      <w:r w:rsidR="008D272E">
        <w:t>ion of</w:t>
      </w:r>
      <w:r>
        <w:t xml:space="preserve"> the exemption for limited partnerships from the </w:t>
      </w:r>
      <w:r w:rsidR="009E2EC7">
        <w:t xml:space="preserve">requirement that registered offerings be priced </w:t>
      </w:r>
      <w:r w:rsidR="00F554D1">
        <w:t>higher</w:t>
      </w:r>
      <w:r w:rsidR="009E2EC7">
        <w:t xml:space="preserve"> than $5</w:t>
      </w:r>
      <w:r w:rsidR="00642C24">
        <w:t xml:space="preserve"> per share.</w:t>
      </w:r>
    </w:p>
    <w:p w14:paraId="6AB92E08" w14:textId="2CD52BCD" w:rsidR="009A54F8" w:rsidRDefault="009A54F8" w:rsidP="00F27291">
      <w:r w:rsidRPr="009A54F8">
        <w:rPr>
          <w:b/>
          <w:bCs/>
        </w:rPr>
        <w:t>Conclusion</w:t>
      </w:r>
      <w:r w:rsidR="00FD5D6D">
        <w:rPr>
          <w:b/>
          <w:bCs/>
        </w:rPr>
        <w:t xml:space="preserve"> and </w:t>
      </w:r>
      <w:r w:rsidR="000C60DB">
        <w:rPr>
          <w:b/>
          <w:bCs/>
        </w:rPr>
        <w:t>Recommendat</w:t>
      </w:r>
      <w:r w:rsidR="000C60DB">
        <w:rPr>
          <w:b/>
          <w:bCs/>
          <w:i/>
          <w:iCs/>
        </w:rPr>
        <w:t>ion</w:t>
      </w:r>
      <w:r>
        <w:t>:</w:t>
      </w:r>
    </w:p>
    <w:p w14:paraId="203CB51D" w14:textId="78DDACD7" w:rsidR="008079D9" w:rsidRDefault="00C527A9" w:rsidP="00F27291">
      <w:r w:rsidRPr="00C527A9">
        <w:t>This is a</w:t>
      </w:r>
      <w:r w:rsidR="004C51F8">
        <w:t>n</w:t>
      </w:r>
      <w:r w:rsidRPr="00C527A9">
        <w:t xml:space="preserve"> </w:t>
      </w:r>
      <w:r>
        <w:t xml:space="preserve">important </w:t>
      </w:r>
      <w:r w:rsidR="004C51F8">
        <w:t>bill</w:t>
      </w:r>
      <w:r w:rsidR="00A559EC">
        <w:t xml:space="preserve"> from the </w:t>
      </w:r>
      <w:r w:rsidR="004D1024">
        <w:t xml:space="preserve">OFR </w:t>
      </w:r>
      <w:r w:rsidR="004C51F8">
        <w:t xml:space="preserve">and </w:t>
      </w:r>
      <w:r w:rsidR="00C916E6">
        <w:t xml:space="preserve">represents </w:t>
      </w:r>
      <w:r w:rsidR="004C51F8">
        <w:t xml:space="preserve">the first </w:t>
      </w:r>
      <w:r w:rsidR="00893A29">
        <w:t xml:space="preserve">set of </w:t>
      </w:r>
      <w:r w:rsidR="00C53992">
        <w:t xml:space="preserve">major </w:t>
      </w:r>
      <w:r w:rsidR="004C51F8">
        <w:t xml:space="preserve">changes to </w:t>
      </w:r>
      <w:r w:rsidR="00076B39">
        <w:t>Florida’s securities laws in many years. It</w:t>
      </w:r>
      <w:r w:rsidR="00FE3A82">
        <w:t>:</w:t>
      </w:r>
    </w:p>
    <w:p w14:paraId="272EBCC9" w14:textId="0C555902" w:rsidR="008079D9" w:rsidRDefault="00076B39" w:rsidP="008079D9">
      <w:pPr>
        <w:ind w:firstLine="720"/>
      </w:pPr>
      <w:r>
        <w:t xml:space="preserve"> </w:t>
      </w:r>
      <w:r w:rsidR="005E477C">
        <w:t xml:space="preserve">(1) </w:t>
      </w:r>
      <w:r w:rsidR="00386638">
        <w:t>improves the capacity of Florida</w:t>
      </w:r>
      <w:r w:rsidR="00641996">
        <w:t>-based companies to raise money in Florida</w:t>
      </w:r>
      <w:r w:rsidR="00AA0C18">
        <w:t xml:space="preserve"> by amending the crowdfunding statute</w:t>
      </w:r>
      <w:r w:rsidR="0010046C">
        <w:t xml:space="preserve">, </w:t>
      </w:r>
      <w:r w:rsidR="00AA0C18">
        <w:t xml:space="preserve">adding the </w:t>
      </w:r>
      <w:r w:rsidR="00805BD3">
        <w:t>A</w:t>
      </w:r>
      <w:r w:rsidR="00AA0C18">
        <w:t xml:space="preserve">ccredited </w:t>
      </w:r>
      <w:r w:rsidR="00805BD3">
        <w:t>I</w:t>
      </w:r>
      <w:r w:rsidR="00AA0C18">
        <w:t xml:space="preserve">nvestor exemption, </w:t>
      </w:r>
      <w:r w:rsidR="0010046C">
        <w:t xml:space="preserve">allowing for pre-offering testing of </w:t>
      </w:r>
      <w:r w:rsidR="005E477C">
        <w:t xml:space="preserve">potential investor interest, </w:t>
      </w:r>
      <w:r w:rsidR="00435E44">
        <w:t>and revising onerous integration provisions</w:t>
      </w:r>
      <w:r w:rsidR="00AA5889">
        <w:t xml:space="preserve">, </w:t>
      </w:r>
    </w:p>
    <w:p w14:paraId="60C4785D" w14:textId="77777777" w:rsidR="008079D9" w:rsidRDefault="005E477C" w:rsidP="008079D9">
      <w:pPr>
        <w:ind w:firstLine="720"/>
      </w:pPr>
      <w:r>
        <w:t xml:space="preserve">(2) </w:t>
      </w:r>
      <w:r w:rsidR="00641996">
        <w:t xml:space="preserve">adds investor </w:t>
      </w:r>
      <w:r w:rsidR="00A04119">
        <w:t>protection</w:t>
      </w:r>
      <w:r w:rsidR="00641996">
        <w:t xml:space="preserve"> mea</w:t>
      </w:r>
      <w:r w:rsidR="00A04119">
        <w:t xml:space="preserve">sures through the Finder registration provisions and </w:t>
      </w:r>
      <w:r w:rsidR="00AA0C18">
        <w:t xml:space="preserve">increased enforcement powers, </w:t>
      </w:r>
    </w:p>
    <w:p w14:paraId="7DDA99EC" w14:textId="59D8294D" w:rsidR="008079D9" w:rsidRDefault="005E477C" w:rsidP="008079D9">
      <w:pPr>
        <w:ind w:firstLine="720"/>
      </w:pPr>
      <w:r>
        <w:lastRenderedPageBreak/>
        <w:t xml:space="preserve">(3) </w:t>
      </w:r>
      <w:r w:rsidR="00AA0C18">
        <w:t xml:space="preserve">allows Florida to coordinate its review process </w:t>
      </w:r>
      <w:r w:rsidR="004D1024">
        <w:t xml:space="preserve">of registered offerings </w:t>
      </w:r>
      <w:r w:rsidR="00AA0C18">
        <w:t>with those of other states,</w:t>
      </w:r>
      <w:r>
        <w:t xml:space="preserve"> and </w:t>
      </w:r>
    </w:p>
    <w:p w14:paraId="02110AFE" w14:textId="77777777" w:rsidR="008079D9" w:rsidRDefault="005E477C" w:rsidP="008079D9">
      <w:pPr>
        <w:ind w:firstLine="720"/>
      </w:pPr>
      <w:r>
        <w:t xml:space="preserve">(4) </w:t>
      </w:r>
      <w:r w:rsidR="00DC4329">
        <w:t xml:space="preserve">clarifies and </w:t>
      </w:r>
      <w:r w:rsidR="008F5AAA">
        <w:t>improves numerous provisions that are outdated</w:t>
      </w:r>
      <w:r w:rsidR="00C916E6">
        <w:t xml:space="preserve"> or incomplete.</w:t>
      </w:r>
      <w:r w:rsidR="00A02E9A">
        <w:t xml:space="preserve"> </w:t>
      </w:r>
    </w:p>
    <w:p w14:paraId="6F6CBB2D" w14:textId="4E122B37" w:rsidR="00437897" w:rsidRDefault="00A02E9A" w:rsidP="008079D9">
      <w:r>
        <w:t xml:space="preserve">The Task Force </w:t>
      </w:r>
      <w:r w:rsidR="005137EA">
        <w:t xml:space="preserve">believes that the proposed </w:t>
      </w:r>
      <w:r w:rsidR="003C711A">
        <w:t xml:space="preserve">provisions are </w:t>
      </w:r>
      <w:r w:rsidR="005137EA">
        <w:t>in the best interests of Florida companies and investors and recommends that the Business Law Section support th</w:t>
      </w:r>
      <w:r w:rsidR="00A559EC">
        <w:t xml:space="preserve">e </w:t>
      </w:r>
      <w:r w:rsidR="004D1024">
        <w:t xml:space="preserve">OFR </w:t>
      </w:r>
      <w:r w:rsidR="00A559EC">
        <w:t>proposed legislation.</w:t>
      </w:r>
    </w:p>
    <w:p w14:paraId="3824B4FD" w14:textId="77777777" w:rsidR="00FD5D6D" w:rsidRDefault="00FD5D6D" w:rsidP="00F27291"/>
    <w:p w14:paraId="69323EC9" w14:textId="6007E836" w:rsidR="00287A02" w:rsidRPr="009A54F8" w:rsidRDefault="00287A02" w:rsidP="00F27291">
      <w:pPr>
        <w:rPr>
          <w:b/>
          <w:bCs/>
        </w:rPr>
      </w:pPr>
      <w:r w:rsidRPr="009A54F8">
        <w:rPr>
          <w:b/>
          <w:bCs/>
        </w:rPr>
        <w:t>Chapter 517 Task Force:</w:t>
      </w:r>
    </w:p>
    <w:p w14:paraId="2A645C86" w14:textId="0374028A" w:rsidR="00287A02" w:rsidRDefault="00287A02" w:rsidP="00F27291">
      <w:r>
        <w:t>Chair: Stuart Cohn</w:t>
      </w:r>
    </w:p>
    <w:p w14:paraId="149228F3" w14:textId="6AE9FDAE" w:rsidR="00287A02" w:rsidRDefault="00287A02" w:rsidP="00F27291">
      <w:r>
        <w:t xml:space="preserve">Members: </w:t>
      </w:r>
      <w:r w:rsidR="00132111">
        <w:t xml:space="preserve">Valerie Angelucci, </w:t>
      </w:r>
      <w:r w:rsidR="0073401B">
        <w:t xml:space="preserve">Dan Aronson, Rob Brighton, </w:t>
      </w:r>
      <w:r w:rsidR="00EC5CDE">
        <w:t xml:space="preserve">Francis Curran, </w:t>
      </w:r>
      <w:r w:rsidR="0073401B">
        <w:t xml:space="preserve">Karen Orlin, Richard Leisner, </w:t>
      </w:r>
      <w:r w:rsidR="007137C4">
        <w:t xml:space="preserve">Don Rett, </w:t>
      </w:r>
      <w:r w:rsidR="0073401B">
        <w:t>Andrew Schwartz, Phil Schwar</w:t>
      </w:r>
      <w:r w:rsidR="007137C4">
        <w:t xml:space="preserve">tz, </w:t>
      </w:r>
      <w:r w:rsidR="00EC5CDE">
        <w:t>Miche</w:t>
      </w:r>
      <w:r w:rsidR="00C3547C">
        <w:t>l</w:t>
      </w:r>
      <w:r w:rsidR="00EC5CDE">
        <w:t>le Suarez</w:t>
      </w:r>
      <w:r w:rsidR="00A363F6">
        <w:t>,</w:t>
      </w:r>
      <w:r w:rsidR="00EC5CDE">
        <w:t xml:space="preserve"> </w:t>
      </w:r>
      <w:r w:rsidR="007137C4">
        <w:t>Greg Yadley</w:t>
      </w:r>
    </w:p>
    <w:p w14:paraId="5B587277" w14:textId="4ADD642F" w:rsidR="007137C4" w:rsidRPr="00C527A9" w:rsidRDefault="007137C4" w:rsidP="00F27291">
      <w:r>
        <w:t>BLS Fellows: Chemere Ellis, Katherine Van De Bogart</w:t>
      </w:r>
    </w:p>
    <w:sectPr w:rsidR="007137C4" w:rsidRPr="00C52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74A2C" w14:textId="77777777" w:rsidR="00C34465" w:rsidRDefault="00C34465" w:rsidP="000B5A45">
      <w:pPr>
        <w:spacing w:after="0" w:line="240" w:lineRule="auto"/>
      </w:pPr>
      <w:r>
        <w:separator/>
      </w:r>
    </w:p>
  </w:endnote>
  <w:endnote w:type="continuationSeparator" w:id="0">
    <w:p w14:paraId="398AC3C2" w14:textId="77777777" w:rsidR="00C34465" w:rsidRDefault="00C34465" w:rsidP="000B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4D1EB" w14:textId="77777777" w:rsidR="000B5A45" w:rsidRDefault="000B5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024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EEC53" w14:textId="0885E2BB" w:rsidR="000B5A45" w:rsidRDefault="000B5A4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86B85" w14:textId="77777777" w:rsidR="000B5A45" w:rsidRDefault="000B5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CE80D" w14:textId="77777777" w:rsidR="000B5A45" w:rsidRDefault="000B5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0C9C7" w14:textId="77777777" w:rsidR="00C34465" w:rsidRDefault="00C34465" w:rsidP="000B5A45">
      <w:pPr>
        <w:spacing w:after="0" w:line="240" w:lineRule="auto"/>
      </w:pPr>
      <w:r>
        <w:separator/>
      </w:r>
    </w:p>
  </w:footnote>
  <w:footnote w:type="continuationSeparator" w:id="0">
    <w:p w14:paraId="62789B8C" w14:textId="77777777" w:rsidR="00C34465" w:rsidRDefault="00C34465" w:rsidP="000B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6BFE" w14:textId="77777777" w:rsidR="000B5A45" w:rsidRDefault="000B5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D6D57" w14:textId="77777777" w:rsidR="000B5A45" w:rsidRDefault="000B5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8CE7" w14:textId="77777777" w:rsidR="000B5A45" w:rsidRDefault="000B5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C7D"/>
    <w:multiLevelType w:val="hybridMultilevel"/>
    <w:tmpl w:val="A218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4CA0"/>
    <w:multiLevelType w:val="hybridMultilevel"/>
    <w:tmpl w:val="B6E6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72FA"/>
    <w:multiLevelType w:val="hybridMultilevel"/>
    <w:tmpl w:val="84726DC8"/>
    <w:lvl w:ilvl="0" w:tplc="03AE76FC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72AC3"/>
    <w:multiLevelType w:val="hybridMultilevel"/>
    <w:tmpl w:val="92AC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27F44"/>
    <w:multiLevelType w:val="hybridMultilevel"/>
    <w:tmpl w:val="E7AE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03D08"/>
    <w:multiLevelType w:val="hybridMultilevel"/>
    <w:tmpl w:val="E150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4384"/>
    <w:multiLevelType w:val="hybridMultilevel"/>
    <w:tmpl w:val="95882C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D05"/>
    <w:multiLevelType w:val="hybridMultilevel"/>
    <w:tmpl w:val="A21A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D77CF"/>
    <w:multiLevelType w:val="hybridMultilevel"/>
    <w:tmpl w:val="E024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45074"/>
    <w:multiLevelType w:val="hybridMultilevel"/>
    <w:tmpl w:val="851CED84"/>
    <w:lvl w:ilvl="0" w:tplc="7D049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424D7"/>
    <w:multiLevelType w:val="hybridMultilevel"/>
    <w:tmpl w:val="91260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458BB"/>
    <w:multiLevelType w:val="hybridMultilevel"/>
    <w:tmpl w:val="FE90A844"/>
    <w:lvl w:ilvl="0" w:tplc="21A2913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BE"/>
    <w:rsid w:val="00005E9B"/>
    <w:rsid w:val="00013918"/>
    <w:rsid w:val="00014A63"/>
    <w:rsid w:val="000178F2"/>
    <w:rsid w:val="00017945"/>
    <w:rsid w:val="00027BDB"/>
    <w:rsid w:val="00036117"/>
    <w:rsid w:val="00036890"/>
    <w:rsid w:val="0003768E"/>
    <w:rsid w:val="00040C10"/>
    <w:rsid w:val="00042C17"/>
    <w:rsid w:val="00046BB0"/>
    <w:rsid w:val="00046CE7"/>
    <w:rsid w:val="00054144"/>
    <w:rsid w:val="00062EDA"/>
    <w:rsid w:val="00067087"/>
    <w:rsid w:val="00067A84"/>
    <w:rsid w:val="000760A2"/>
    <w:rsid w:val="00076B39"/>
    <w:rsid w:val="00076FAC"/>
    <w:rsid w:val="0009114D"/>
    <w:rsid w:val="00091DDF"/>
    <w:rsid w:val="000A3E2E"/>
    <w:rsid w:val="000B1E86"/>
    <w:rsid w:val="000B541B"/>
    <w:rsid w:val="000B5A45"/>
    <w:rsid w:val="000C033E"/>
    <w:rsid w:val="000C4ACF"/>
    <w:rsid w:val="000C60DB"/>
    <w:rsid w:val="000C7F67"/>
    <w:rsid w:val="000D61A3"/>
    <w:rsid w:val="000D6829"/>
    <w:rsid w:val="000D79B0"/>
    <w:rsid w:val="000E006D"/>
    <w:rsid w:val="000E11B6"/>
    <w:rsid w:val="000E2E4F"/>
    <w:rsid w:val="000E3135"/>
    <w:rsid w:val="000E4F12"/>
    <w:rsid w:val="000E5F47"/>
    <w:rsid w:val="000E7CCA"/>
    <w:rsid w:val="000F3449"/>
    <w:rsid w:val="000F4097"/>
    <w:rsid w:val="000F638C"/>
    <w:rsid w:val="0010046C"/>
    <w:rsid w:val="00104CAB"/>
    <w:rsid w:val="00106E9D"/>
    <w:rsid w:val="00110E03"/>
    <w:rsid w:val="001162EC"/>
    <w:rsid w:val="00116B89"/>
    <w:rsid w:val="00125BB7"/>
    <w:rsid w:val="00132111"/>
    <w:rsid w:val="00137AA9"/>
    <w:rsid w:val="0015032D"/>
    <w:rsid w:val="00152262"/>
    <w:rsid w:val="00155182"/>
    <w:rsid w:val="0015563F"/>
    <w:rsid w:val="00157ADE"/>
    <w:rsid w:val="00166F92"/>
    <w:rsid w:val="00176F62"/>
    <w:rsid w:val="00177EC1"/>
    <w:rsid w:val="00184F4C"/>
    <w:rsid w:val="00186AA4"/>
    <w:rsid w:val="00187E52"/>
    <w:rsid w:val="00192148"/>
    <w:rsid w:val="00196A9B"/>
    <w:rsid w:val="001A0970"/>
    <w:rsid w:val="001A4090"/>
    <w:rsid w:val="001A5015"/>
    <w:rsid w:val="001B0AD9"/>
    <w:rsid w:val="001B1E99"/>
    <w:rsid w:val="001B51B0"/>
    <w:rsid w:val="001B5D60"/>
    <w:rsid w:val="001B776F"/>
    <w:rsid w:val="001C3549"/>
    <w:rsid w:val="001C4EC3"/>
    <w:rsid w:val="001C5A6F"/>
    <w:rsid w:val="001D76AD"/>
    <w:rsid w:val="001E0098"/>
    <w:rsid w:val="001E0E79"/>
    <w:rsid w:val="001E6629"/>
    <w:rsid w:val="001F041D"/>
    <w:rsid w:val="001F6378"/>
    <w:rsid w:val="001F7872"/>
    <w:rsid w:val="00205142"/>
    <w:rsid w:val="002122C6"/>
    <w:rsid w:val="0021432F"/>
    <w:rsid w:val="00215999"/>
    <w:rsid w:val="002161A6"/>
    <w:rsid w:val="00221FD8"/>
    <w:rsid w:val="0022485E"/>
    <w:rsid w:val="0022707D"/>
    <w:rsid w:val="00231A4A"/>
    <w:rsid w:val="0023456C"/>
    <w:rsid w:val="00237401"/>
    <w:rsid w:val="00240AE7"/>
    <w:rsid w:val="00247851"/>
    <w:rsid w:val="002534C3"/>
    <w:rsid w:val="0026210E"/>
    <w:rsid w:val="0027403A"/>
    <w:rsid w:val="00281015"/>
    <w:rsid w:val="00287A02"/>
    <w:rsid w:val="00294D24"/>
    <w:rsid w:val="00295E14"/>
    <w:rsid w:val="002B1465"/>
    <w:rsid w:val="002B5F0D"/>
    <w:rsid w:val="002C2302"/>
    <w:rsid w:val="002C2741"/>
    <w:rsid w:val="002D4FF6"/>
    <w:rsid w:val="002D7866"/>
    <w:rsid w:val="002D7BC1"/>
    <w:rsid w:val="002E02F1"/>
    <w:rsid w:val="002E5682"/>
    <w:rsid w:val="002E64C8"/>
    <w:rsid w:val="002E6D4D"/>
    <w:rsid w:val="002F3ECF"/>
    <w:rsid w:val="00304A4A"/>
    <w:rsid w:val="00305AD5"/>
    <w:rsid w:val="00317D6D"/>
    <w:rsid w:val="003207B5"/>
    <w:rsid w:val="00321701"/>
    <w:rsid w:val="00323AA6"/>
    <w:rsid w:val="003242F9"/>
    <w:rsid w:val="00324D82"/>
    <w:rsid w:val="00326DE1"/>
    <w:rsid w:val="00333473"/>
    <w:rsid w:val="003414CF"/>
    <w:rsid w:val="00344536"/>
    <w:rsid w:val="0035239B"/>
    <w:rsid w:val="00352AA3"/>
    <w:rsid w:val="003538FC"/>
    <w:rsid w:val="003551DB"/>
    <w:rsid w:val="0036156D"/>
    <w:rsid w:val="00375B4F"/>
    <w:rsid w:val="00375DE4"/>
    <w:rsid w:val="00385CD8"/>
    <w:rsid w:val="003862DE"/>
    <w:rsid w:val="00386638"/>
    <w:rsid w:val="00387355"/>
    <w:rsid w:val="00392C85"/>
    <w:rsid w:val="00395744"/>
    <w:rsid w:val="00395C3F"/>
    <w:rsid w:val="003A5BD3"/>
    <w:rsid w:val="003A7130"/>
    <w:rsid w:val="003B3DFC"/>
    <w:rsid w:val="003C01F8"/>
    <w:rsid w:val="003C52C3"/>
    <w:rsid w:val="003C711A"/>
    <w:rsid w:val="003C73B8"/>
    <w:rsid w:val="003D7B31"/>
    <w:rsid w:val="003F0B96"/>
    <w:rsid w:val="003F127F"/>
    <w:rsid w:val="00402DFA"/>
    <w:rsid w:val="00405835"/>
    <w:rsid w:val="00411584"/>
    <w:rsid w:val="00421658"/>
    <w:rsid w:val="00426FF7"/>
    <w:rsid w:val="004339A4"/>
    <w:rsid w:val="00434542"/>
    <w:rsid w:val="00435E44"/>
    <w:rsid w:val="00437897"/>
    <w:rsid w:val="00442964"/>
    <w:rsid w:val="004501A0"/>
    <w:rsid w:val="00451DF7"/>
    <w:rsid w:val="004535CF"/>
    <w:rsid w:val="00454F2D"/>
    <w:rsid w:val="0046183A"/>
    <w:rsid w:val="00462202"/>
    <w:rsid w:val="004631C2"/>
    <w:rsid w:val="00464C21"/>
    <w:rsid w:val="00465C06"/>
    <w:rsid w:val="00472862"/>
    <w:rsid w:val="00483086"/>
    <w:rsid w:val="00486785"/>
    <w:rsid w:val="00486E11"/>
    <w:rsid w:val="00486F5E"/>
    <w:rsid w:val="00490E11"/>
    <w:rsid w:val="004930E1"/>
    <w:rsid w:val="00495B26"/>
    <w:rsid w:val="00496A41"/>
    <w:rsid w:val="00497CE3"/>
    <w:rsid w:val="004A1905"/>
    <w:rsid w:val="004A5C25"/>
    <w:rsid w:val="004A6030"/>
    <w:rsid w:val="004A7F16"/>
    <w:rsid w:val="004B0B36"/>
    <w:rsid w:val="004B782B"/>
    <w:rsid w:val="004B7FC6"/>
    <w:rsid w:val="004C1C76"/>
    <w:rsid w:val="004C51F8"/>
    <w:rsid w:val="004C7956"/>
    <w:rsid w:val="004D1024"/>
    <w:rsid w:val="004D413C"/>
    <w:rsid w:val="004E2B9E"/>
    <w:rsid w:val="004E5A1A"/>
    <w:rsid w:val="004F17D1"/>
    <w:rsid w:val="0050071F"/>
    <w:rsid w:val="00501A5F"/>
    <w:rsid w:val="00502F32"/>
    <w:rsid w:val="0050794E"/>
    <w:rsid w:val="005137EA"/>
    <w:rsid w:val="005177DB"/>
    <w:rsid w:val="00532DC3"/>
    <w:rsid w:val="00534CD7"/>
    <w:rsid w:val="005410EF"/>
    <w:rsid w:val="00545DF1"/>
    <w:rsid w:val="005522D1"/>
    <w:rsid w:val="00552383"/>
    <w:rsid w:val="0055320A"/>
    <w:rsid w:val="005550F2"/>
    <w:rsid w:val="005610B1"/>
    <w:rsid w:val="0056336F"/>
    <w:rsid w:val="00566867"/>
    <w:rsid w:val="00567F29"/>
    <w:rsid w:val="00584C4E"/>
    <w:rsid w:val="0058724A"/>
    <w:rsid w:val="00590859"/>
    <w:rsid w:val="00592E23"/>
    <w:rsid w:val="0059455E"/>
    <w:rsid w:val="0059641B"/>
    <w:rsid w:val="00597A1A"/>
    <w:rsid w:val="005A40D2"/>
    <w:rsid w:val="005A671E"/>
    <w:rsid w:val="005A7154"/>
    <w:rsid w:val="005B06B6"/>
    <w:rsid w:val="005B1642"/>
    <w:rsid w:val="005C0CE4"/>
    <w:rsid w:val="005C1322"/>
    <w:rsid w:val="005C24F0"/>
    <w:rsid w:val="005C5E91"/>
    <w:rsid w:val="005D0436"/>
    <w:rsid w:val="005E024D"/>
    <w:rsid w:val="005E0EBE"/>
    <w:rsid w:val="005E1276"/>
    <w:rsid w:val="005E1367"/>
    <w:rsid w:val="005E4170"/>
    <w:rsid w:val="005E477C"/>
    <w:rsid w:val="005E47E1"/>
    <w:rsid w:val="005E5CD1"/>
    <w:rsid w:val="005E78F4"/>
    <w:rsid w:val="005F2BA6"/>
    <w:rsid w:val="005F67D5"/>
    <w:rsid w:val="00602110"/>
    <w:rsid w:val="006035D5"/>
    <w:rsid w:val="00607554"/>
    <w:rsid w:val="00607E29"/>
    <w:rsid w:val="00613ACA"/>
    <w:rsid w:val="00641996"/>
    <w:rsid w:val="00642C24"/>
    <w:rsid w:val="00645CF3"/>
    <w:rsid w:val="00645E37"/>
    <w:rsid w:val="00660E83"/>
    <w:rsid w:val="006645E4"/>
    <w:rsid w:val="00664951"/>
    <w:rsid w:val="0066538A"/>
    <w:rsid w:val="00670790"/>
    <w:rsid w:val="00676901"/>
    <w:rsid w:val="00683080"/>
    <w:rsid w:val="00686172"/>
    <w:rsid w:val="00686D77"/>
    <w:rsid w:val="00687014"/>
    <w:rsid w:val="00690068"/>
    <w:rsid w:val="00692B1F"/>
    <w:rsid w:val="006A1190"/>
    <w:rsid w:val="006A1A2D"/>
    <w:rsid w:val="006A508D"/>
    <w:rsid w:val="006B4B83"/>
    <w:rsid w:val="006C06B0"/>
    <w:rsid w:val="006C2B5C"/>
    <w:rsid w:val="006C7466"/>
    <w:rsid w:val="006D2A72"/>
    <w:rsid w:val="006D733B"/>
    <w:rsid w:val="006E7C02"/>
    <w:rsid w:val="006F06E8"/>
    <w:rsid w:val="006F0C57"/>
    <w:rsid w:val="006F2353"/>
    <w:rsid w:val="006F30E8"/>
    <w:rsid w:val="00710934"/>
    <w:rsid w:val="00711747"/>
    <w:rsid w:val="007137C4"/>
    <w:rsid w:val="007215C5"/>
    <w:rsid w:val="007236E0"/>
    <w:rsid w:val="00723C2D"/>
    <w:rsid w:val="00726CB4"/>
    <w:rsid w:val="00727BFB"/>
    <w:rsid w:val="0073401B"/>
    <w:rsid w:val="00735444"/>
    <w:rsid w:val="0073703E"/>
    <w:rsid w:val="00744BA9"/>
    <w:rsid w:val="007553BE"/>
    <w:rsid w:val="00760007"/>
    <w:rsid w:val="00762BD7"/>
    <w:rsid w:val="00762D14"/>
    <w:rsid w:val="007644B3"/>
    <w:rsid w:val="00766FEF"/>
    <w:rsid w:val="007729FA"/>
    <w:rsid w:val="00773A18"/>
    <w:rsid w:val="00777593"/>
    <w:rsid w:val="007855F8"/>
    <w:rsid w:val="007859FC"/>
    <w:rsid w:val="007919BD"/>
    <w:rsid w:val="00792261"/>
    <w:rsid w:val="00793DED"/>
    <w:rsid w:val="007B3DA6"/>
    <w:rsid w:val="007B48FE"/>
    <w:rsid w:val="007B585A"/>
    <w:rsid w:val="007B68D2"/>
    <w:rsid w:val="007C2451"/>
    <w:rsid w:val="007C6D0A"/>
    <w:rsid w:val="007D0A72"/>
    <w:rsid w:val="007E3F37"/>
    <w:rsid w:val="007E6C72"/>
    <w:rsid w:val="007F012C"/>
    <w:rsid w:val="007F083F"/>
    <w:rsid w:val="008043AD"/>
    <w:rsid w:val="00805BD3"/>
    <w:rsid w:val="008063B9"/>
    <w:rsid w:val="0080708B"/>
    <w:rsid w:val="008079D9"/>
    <w:rsid w:val="0081560D"/>
    <w:rsid w:val="008179D2"/>
    <w:rsid w:val="00820E75"/>
    <w:rsid w:val="00821CB2"/>
    <w:rsid w:val="00826ACA"/>
    <w:rsid w:val="00836117"/>
    <w:rsid w:val="0084241D"/>
    <w:rsid w:val="00845C34"/>
    <w:rsid w:val="00845D94"/>
    <w:rsid w:val="00852CDA"/>
    <w:rsid w:val="00855881"/>
    <w:rsid w:val="008563C0"/>
    <w:rsid w:val="008642A5"/>
    <w:rsid w:val="008645AC"/>
    <w:rsid w:val="00865C7E"/>
    <w:rsid w:val="00867B05"/>
    <w:rsid w:val="00867DB7"/>
    <w:rsid w:val="0088058D"/>
    <w:rsid w:val="00880990"/>
    <w:rsid w:val="00883FB5"/>
    <w:rsid w:val="008850B1"/>
    <w:rsid w:val="00885968"/>
    <w:rsid w:val="00887E1D"/>
    <w:rsid w:val="00893A29"/>
    <w:rsid w:val="00895590"/>
    <w:rsid w:val="008957A0"/>
    <w:rsid w:val="00895F76"/>
    <w:rsid w:val="008B3411"/>
    <w:rsid w:val="008B5D34"/>
    <w:rsid w:val="008C0675"/>
    <w:rsid w:val="008C268A"/>
    <w:rsid w:val="008D272E"/>
    <w:rsid w:val="008D36E7"/>
    <w:rsid w:val="008D36FE"/>
    <w:rsid w:val="008E26C4"/>
    <w:rsid w:val="008F26C7"/>
    <w:rsid w:val="008F59D3"/>
    <w:rsid w:val="008F5AAA"/>
    <w:rsid w:val="00900C4F"/>
    <w:rsid w:val="00903421"/>
    <w:rsid w:val="009036AA"/>
    <w:rsid w:val="00905510"/>
    <w:rsid w:val="00916F57"/>
    <w:rsid w:val="0092725E"/>
    <w:rsid w:val="0093586B"/>
    <w:rsid w:val="009407ED"/>
    <w:rsid w:val="00947CF6"/>
    <w:rsid w:val="00953137"/>
    <w:rsid w:val="009603A5"/>
    <w:rsid w:val="00960410"/>
    <w:rsid w:val="009631E2"/>
    <w:rsid w:val="00977053"/>
    <w:rsid w:val="00984B3F"/>
    <w:rsid w:val="009852D8"/>
    <w:rsid w:val="00986857"/>
    <w:rsid w:val="0099324C"/>
    <w:rsid w:val="00994E3B"/>
    <w:rsid w:val="009955BD"/>
    <w:rsid w:val="009A1046"/>
    <w:rsid w:val="009A54F8"/>
    <w:rsid w:val="009C2062"/>
    <w:rsid w:val="009C2369"/>
    <w:rsid w:val="009C2C76"/>
    <w:rsid w:val="009C3A45"/>
    <w:rsid w:val="009C7E1F"/>
    <w:rsid w:val="009D3D82"/>
    <w:rsid w:val="009E2EC7"/>
    <w:rsid w:val="009E313E"/>
    <w:rsid w:val="009F0462"/>
    <w:rsid w:val="009F094E"/>
    <w:rsid w:val="009F65D0"/>
    <w:rsid w:val="00A01971"/>
    <w:rsid w:val="00A02E9A"/>
    <w:rsid w:val="00A04119"/>
    <w:rsid w:val="00A0698E"/>
    <w:rsid w:val="00A0757D"/>
    <w:rsid w:val="00A12799"/>
    <w:rsid w:val="00A137EB"/>
    <w:rsid w:val="00A13FC1"/>
    <w:rsid w:val="00A21199"/>
    <w:rsid w:val="00A23B13"/>
    <w:rsid w:val="00A267F2"/>
    <w:rsid w:val="00A30EF1"/>
    <w:rsid w:val="00A3139B"/>
    <w:rsid w:val="00A35ACF"/>
    <w:rsid w:val="00A363F6"/>
    <w:rsid w:val="00A423FF"/>
    <w:rsid w:val="00A474E2"/>
    <w:rsid w:val="00A55698"/>
    <w:rsid w:val="00A559EC"/>
    <w:rsid w:val="00A61371"/>
    <w:rsid w:val="00A62A66"/>
    <w:rsid w:val="00A65A8A"/>
    <w:rsid w:val="00A70625"/>
    <w:rsid w:val="00A731E0"/>
    <w:rsid w:val="00A73F13"/>
    <w:rsid w:val="00A83C03"/>
    <w:rsid w:val="00A9125C"/>
    <w:rsid w:val="00A94DD2"/>
    <w:rsid w:val="00AA0282"/>
    <w:rsid w:val="00AA0432"/>
    <w:rsid w:val="00AA0C18"/>
    <w:rsid w:val="00AA39C3"/>
    <w:rsid w:val="00AA5889"/>
    <w:rsid w:val="00AB167E"/>
    <w:rsid w:val="00AB1A64"/>
    <w:rsid w:val="00AB2BEC"/>
    <w:rsid w:val="00AE22A7"/>
    <w:rsid w:val="00B025AB"/>
    <w:rsid w:val="00B07C87"/>
    <w:rsid w:val="00B15926"/>
    <w:rsid w:val="00B15E94"/>
    <w:rsid w:val="00B21E0F"/>
    <w:rsid w:val="00B27D2F"/>
    <w:rsid w:val="00B27E93"/>
    <w:rsid w:val="00B4384C"/>
    <w:rsid w:val="00B43F35"/>
    <w:rsid w:val="00B55E09"/>
    <w:rsid w:val="00B6219F"/>
    <w:rsid w:val="00B6470E"/>
    <w:rsid w:val="00B67684"/>
    <w:rsid w:val="00B67763"/>
    <w:rsid w:val="00B711DD"/>
    <w:rsid w:val="00B75190"/>
    <w:rsid w:val="00B77702"/>
    <w:rsid w:val="00B81D28"/>
    <w:rsid w:val="00B82C5A"/>
    <w:rsid w:val="00B852DD"/>
    <w:rsid w:val="00B90E59"/>
    <w:rsid w:val="00B93C0D"/>
    <w:rsid w:val="00B950A4"/>
    <w:rsid w:val="00B95ED0"/>
    <w:rsid w:val="00BA7045"/>
    <w:rsid w:val="00BC28B1"/>
    <w:rsid w:val="00BC3DAD"/>
    <w:rsid w:val="00BC53E3"/>
    <w:rsid w:val="00BC6070"/>
    <w:rsid w:val="00BC7A20"/>
    <w:rsid w:val="00BD020C"/>
    <w:rsid w:val="00BD1B32"/>
    <w:rsid w:val="00BD6F44"/>
    <w:rsid w:val="00BE1F42"/>
    <w:rsid w:val="00BE38BE"/>
    <w:rsid w:val="00BE7196"/>
    <w:rsid w:val="00BF5532"/>
    <w:rsid w:val="00BF5737"/>
    <w:rsid w:val="00C01CC9"/>
    <w:rsid w:val="00C0325B"/>
    <w:rsid w:val="00C03B05"/>
    <w:rsid w:val="00C0584F"/>
    <w:rsid w:val="00C0671D"/>
    <w:rsid w:val="00C12516"/>
    <w:rsid w:val="00C132BA"/>
    <w:rsid w:val="00C15AA4"/>
    <w:rsid w:val="00C17FF7"/>
    <w:rsid w:val="00C21BB5"/>
    <w:rsid w:val="00C2440B"/>
    <w:rsid w:val="00C25F93"/>
    <w:rsid w:val="00C2609C"/>
    <w:rsid w:val="00C31A9A"/>
    <w:rsid w:val="00C3372B"/>
    <w:rsid w:val="00C34465"/>
    <w:rsid w:val="00C3496D"/>
    <w:rsid w:val="00C3547C"/>
    <w:rsid w:val="00C365D9"/>
    <w:rsid w:val="00C42F01"/>
    <w:rsid w:val="00C527A9"/>
    <w:rsid w:val="00C538B6"/>
    <w:rsid w:val="00C53992"/>
    <w:rsid w:val="00C614A3"/>
    <w:rsid w:val="00C62855"/>
    <w:rsid w:val="00C71EC8"/>
    <w:rsid w:val="00C72C74"/>
    <w:rsid w:val="00C84551"/>
    <w:rsid w:val="00C8739E"/>
    <w:rsid w:val="00C916E6"/>
    <w:rsid w:val="00C9666D"/>
    <w:rsid w:val="00CA0EA3"/>
    <w:rsid w:val="00CA4956"/>
    <w:rsid w:val="00CA7F76"/>
    <w:rsid w:val="00CB3D46"/>
    <w:rsid w:val="00CC14BC"/>
    <w:rsid w:val="00CC3279"/>
    <w:rsid w:val="00CD3190"/>
    <w:rsid w:val="00CD4EC7"/>
    <w:rsid w:val="00CD5FA8"/>
    <w:rsid w:val="00CE2716"/>
    <w:rsid w:val="00CE5221"/>
    <w:rsid w:val="00CE62E7"/>
    <w:rsid w:val="00CE6E52"/>
    <w:rsid w:val="00CF1C6D"/>
    <w:rsid w:val="00CF7B11"/>
    <w:rsid w:val="00D17230"/>
    <w:rsid w:val="00D20672"/>
    <w:rsid w:val="00D2144D"/>
    <w:rsid w:val="00D30F7A"/>
    <w:rsid w:val="00D33879"/>
    <w:rsid w:val="00D36881"/>
    <w:rsid w:val="00D46DEC"/>
    <w:rsid w:val="00D4709C"/>
    <w:rsid w:val="00D6100F"/>
    <w:rsid w:val="00D62A9F"/>
    <w:rsid w:val="00D7194D"/>
    <w:rsid w:val="00D74047"/>
    <w:rsid w:val="00D76BDD"/>
    <w:rsid w:val="00D82ED0"/>
    <w:rsid w:val="00D83A57"/>
    <w:rsid w:val="00D85190"/>
    <w:rsid w:val="00D85F21"/>
    <w:rsid w:val="00D87706"/>
    <w:rsid w:val="00D93699"/>
    <w:rsid w:val="00D97A68"/>
    <w:rsid w:val="00DC3A8F"/>
    <w:rsid w:val="00DC4329"/>
    <w:rsid w:val="00DD0C0F"/>
    <w:rsid w:val="00DD2BA8"/>
    <w:rsid w:val="00DD2F5B"/>
    <w:rsid w:val="00DD3661"/>
    <w:rsid w:val="00DD4178"/>
    <w:rsid w:val="00DD4DAC"/>
    <w:rsid w:val="00DF16AF"/>
    <w:rsid w:val="00DF32C6"/>
    <w:rsid w:val="00DF394F"/>
    <w:rsid w:val="00DF3D80"/>
    <w:rsid w:val="00DF63F6"/>
    <w:rsid w:val="00E01DAE"/>
    <w:rsid w:val="00E043B4"/>
    <w:rsid w:val="00E07287"/>
    <w:rsid w:val="00E16D46"/>
    <w:rsid w:val="00E20DD4"/>
    <w:rsid w:val="00E248CE"/>
    <w:rsid w:val="00E31019"/>
    <w:rsid w:val="00E3447D"/>
    <w:rsid w:val="00E3509E"/>
    <w:rsid w:val="00E3756C"/>
    <w:rsid w:val="00E46EEB"/>
    <w:rsid w:val="00E6190A"/>
    <w:rsid w:val="00E62588"/>
    <w:rsid w:val="00E817E0"/>
    <w:rsid w:val="00E859E0"/>
    <w:rsid w:val="00E914B5"/>
    <w:rsid w:val="00E93EAF"/>
    <w:rsid w:val="00E958DB"/>
    <w:rsid w:val="00EA1DC4"/>
    <w:rsid w:val="00EB7812"/>
    <w:rsid w:val="00EC5CDE"/>
    <w:rsid w:val="00ED0B75"/>
    <w:rsid w:val="00ED1273"/>
    <w:rsid w:val="00EE6360"/>
    <w:rsid w:val="00EF529F"/>
    <w:rsid w:val="00EF7D83"/>
    <w:rsid w:val="00F01090"/>
    <w:rsid w:val="00F02597"/>
    <w:rsid w:val="00F04C94"/>
    <w:rsid w:val="00F12F66"/>
    <w:rsid w:val="00F13055"/>
    <w:rsid w:val="00F154C2"/>
    <w:rsid w:val="00F17AF8"/>
    <w:rsid w:val="00F21554"/>
    <w:rsid w:val="00F24A1D"/>
    <w:rsid w:val="00F27291"/>
    <w:rsid w:val="00F34BAE"/>
    <w:rsid w:val="00F363B7"/>
    <w:rsid w:val="00F41CC9"/>
    <w:rsid w:val="00F42492"/>
    <w:rsid w:val="00F44C5C"/>
    <w:rsid w:val="00F508DF"/>
    <w:rsid w:val="00F554D1"/>
    <w:rsid w:val="00F55890"/>
    <w:rsid w:val="00F65440"/>
    <w:rsid w:val="00F6769C"/>
    <w:rsid w:val="00F71D51"/>
    <w:rsid w:val="00F741B0"/>
    <w:rsid w:val="00F74879"/>
    <w:rsid w:val="00F81CCA"/>
    <w:rsid w:val="00F87AB4"/>
    <w:rsid w:val="00F94C39"/>
    <w:rsid w:val="00F95C96"/>
    <w:rsid w:val="00FA5BB0"/>
    <w:rsid w:val="00FB4179"/>
    <w:rsid w:val="00FB4922"/>
    <w:rsid w:val="00FB688A"/>
    <w:rsid w:val="00FD2644"/>
    <w:rsid w:val="00FD3A29"/>
    <w:rsid w:val="00FD50AD"/>
    <w:rsid w:val="00FD5282"/>
    <w:rsid w:val="00FD5D6D"/>
    <w:rsid w:val="00FD6130"/>
    <w:rsid w:val="00FE1982"/>
    <w:rsid w:val="00FE3A82"/>
    <w:rsid w:val="00FF2C0E"/>
    <w:rsid w:val="00FF33A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F649"/>
  <w15:chartTrackingRefBased/>
  <w15:docId w15:val="{318D88C3-D1B8-4F20-9797-A527E16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45"/>
  </w:style>
  <w:style w:type="paragraph" w:styleId="Footer">
    <w:name w:val="footer"/>
    <w:basedOn w:val="Normal"/>
    <w:link w:val="FooterChar"/>
    <w:uiPriority w:val="99"/>
    <w:unhideWhenUsed/>
    <w:rsid w:val="000B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Cohn</dc:creator>
  <cp:keywords/>
  <dc:description/>
  <cp:lastModifiedBy>Michele Moss</cp:lastModifiedBy>
  <cp:revision>2</cp:revision>
  <dcterms:created xsi:type="dcterms:W3CDTF">2021-08-31T03:01:00Z</dcterms:created>
  <dcterms:modified xsi:type="dcterms:W3CDTF">2021-08-31T03:01:00Z</dcterms:modified>
</cp:coreProperties>
</file>