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B01435" w:rsidP="00B01435">
      <w:pPr>
        <w:spacing w:after="240"/>
        <w:outlineLvl w:val="0"/>
        <w:rPr>
          <w:rFonts w:eastAsia="Times New Roman"/>
        </w:rPr>
      </w:pPr>
      <w:r>
        <w:rPr>
          <w:rFonts w:eastAsia="Times New Roman"/>
          <w:b/>
          <w:bCs/>
        </w:rPr>
        <w:t>From:</w:t>
      </w:r>
      <w:r>
        <w:rPr>
          <w:rFonts w:eastAsia="Times New Roman"/>
        </w:rPr>
        <w:t xml:space="preserve"> "David R. </w:t>
      </w:r>
      <w:r>
        <w:rPr>
          <w:rFonts w:eastAsia="Times New Roman"/>
        </w:rPr>
        <w:t>Brittain</w:t>
      </w:r>
      <w:r>
        <w:rPr>
          <w:rFonts w:eastAsia="Times New Roman"/>
        </w:rPr>
        <w:t>" &lt;</w:t>
      </w:r>
      <w:hyperlink r:id="rId4" w:history="1">
        <w:r>
          <w:rPr>
            <w:rStyle w:val="Hyperlink"/>
            <w:rFonts w:eastAsia="Times New Roman"/>
          </w:rPr>
          <w:t>DBrittain@trenam.com</w:t>
        </w:r>
      </w:hyperlink>
      <w:r>
        <w:rPr>
          <w:rFonts w:eastAsia="Times New Roman"/>
        </w:rPr>
        <w:t>&gt;</w:t>
      </w:r>
      <w:r>
        <w:rPr>
          <w:rFonts w:eastAsia="Times New Roman"/>
        </w:rPr>
        <w:br/>
      </w:r>
      <w:r>
        <w:rPr>
          <w:rFonts w:eastAsia="Times New Roman"/>
          <w:b/>
          <w:bCs/>
        </w:rPr>
        <w:t>Date:</w:t>
      </w:r>
      <w:r>
        <w:rPr>
          <w:rFonts w:eastAsia="Times New Roman"/>
        </w:rPr>
        <w:t xml:space="preserve"> July 23, 2021 at 2:57:34 PM EDT</w:t>
      </w:r>
      <w:r>
        <w:rPr>
          <w:rFonts w:eastAsia="Times New Roman"/>
        </w:rPr>
        <w:br/>
      </w:r>
      <w:r>
        <w:rPr>
          <w:rFonts w:eastAsia="Times New Roman"/>
          <w:b/>
          <w:bCs/>
        </w:rPr>
        <w:t>To:</w:t>
      </w:r>
      <w:r>
        <w:rPr>
          <w:rFonts w:eastAsia="Times New Roman"/>
        </w:rPr>
        <w:t xml:space="preserve"> Richard McIver &lt;</w:t>
      </w:r>
      <w:hyperlink r:id="rId5" w:history="1">
        <w:r>
          <w:rPr>
            <w:rStyle w:val="Hyperlink"/>
            <w:rFonts w:eastAsia="Times New Roman"/>
          </w:rPr>
          <w:t>RMcIver@kasslaw.com</w:t>
        </w:r>
      </w:hyperlink>
      <w:r>
        <w:rPr>
          <w:rFonts w:eastAsia="Times New Roman"/>
        </w:rPr>
        <w:t>&gt;</w:t>
      </w:r>
      <w:r>
        <w:rPr>
          <w:rFonts w:eastAsia="Times New Roman"/>
        </w:rPr>
        <w:br/>
      </w:r>
      <w:r>
        <w:rPr>
          <w:rFonts w:eastAsia="Times New Roman"/>
          <w:b/>
          <w:bCs/>
        </w:rPr>
        <w:t>Cc:</w:t>
      </w:r>
      <w:r>
        <w:rPr>
          <w:rFonts w:eastAsia="Times New Roman"/>
        </w:rPr>
        <w:t xml:space="preserve"> "Jason M. Ellison (</w:t>
      </w:r>
      <w:hyperlink r:id="rId6" w:history="1">
        <w:r>
          <w:rPr>
            <w:rStyle w:val="Hyperlink"/>
            <w:rFonts w:eastAsia="Times New Roman"/>
          </w:rPr>
          <w:t>jellison@elattorneys.com</w:t>
        </w:r>
      </w:hyperlink>
      <w:r>
        <w:rPr>
          <w:rFonts w:eastAsia="Times New Roman"/>
        </w:rPr>
        <w:t>)" &lt;</w:t>
      </w:r>
      <w:hyperlink r:id="rId6" w:history="1">
        <w:r>
          <w:rPr>
            <w:rStyle w:val="Hyperlink"/>
            <w:rFonts w:eastAsia="Times New Roman"/>
          </w:rPr>
          <w:t>jellison@elattorneys.com</w:t>
        </w:r>
      </w:hyperlink>
      <w:r>
        <w:rPr>
          <w:rFonts w:eastAsia="Times New Roman"/>
        </w:rPr>
        <w:t xml:space="preserve">&gt;, "SALOME J </w:t>
      </w:r>
      <w:r>
        <w:rPr>
          <w:rFonts w:eastAsia="Times New Roman"/>
        </w:rPr>
        <w:t>ZIKAKIS</w:t>
      </w:r>
      <w:r>
        <w:rPr>
          <w:rFonts w:eastAsia="Times New Roman"/>
        </w:rPr>
        <w:t xml:space="preserve"> (</w:t>
      </w:r>
      <w:hyperlink r:id="rId7" w:history="1">
        <w:r>
          <w:rPr>
            <w:rStyle w:val="Hyperlink"/>
            <w:rFonts w:eastAsia="Times New Roman"/>
          </w:rPr>
          <w:t>szikakis@parziklaw.com</w:t>
        </w:r>
      </w:hyperlink>
      <w:r>
        <w:rPr>
          <w:rFonts w:eastAsia="Times New Roman"/>
        </w:rPr>
        <w:t>)" &lt;</w:t>
      </w:r>
      <w:hyperlink r:id="rId7" w:history="1">
        <w:r>
          <w:rPr>
            <w:rStyle w:val="Hyperlink"/>
            <w:rFonts w:eastAsia="Times New Roman"/>
          </w:rPr>
          <w:t>szikakis@parziklaw.com</w:t>
        </w:r>
      </w:hyperlink>
      <w:r>
        <w:rPr>
          <w:rFonts w:eastAsia="Times New Roman"/>
        </w:rPr>
        <w:t>&gt;, "Kenneth E. Thornton" &lt;</w:t>
      </w:r>
      <w:hyperlink r:id="rId8" w:history="1">
        <w:r>
          <w:rPr>
            <w:rStyle w:val="Hyperlink"/>
            <w:rFonts w:eastAsia="Times New Roman"/>
          </w:rPr>
          <w:t>KThornton@fishersauls.com</w:t>
        </w:r>
      </w:hyperlink>
      <w:r>
        <w:rPr>
          <w:rFonts w:eastAsia="Times New Roman"/>
        </w:rPr>
        <w:t>&gt;</w:t>
      </w:r>
      <w:r>
        <w:rPr>
          <w:rFonts w:eastAsia="Times New Roman"/>
        </w:rPr>
        <w:br/>
      </w:r>
      <w:r>
        <w:rPr>
          <w:rFonts w:eastAsia="Times New Roman"/>
          <w:b/>
          <w:bCs/>
        </w:rPr>
        <w:t>Subject:</w:t>
      </w:r>
      <w:r>
        <w:rPr>
          <w:rFonts w:eastAsia="Times New Roman"/>
        </w:rPr>
        <w:t xml:space="preserve"> </w:t>
      </w:r>
      <w:r>
        <w:rPr>
          <w:rFonts w:eastAsia="Times New Roman"/>
          <w:b/>
          <w:bCs/>
        </w:rPr>
        <w:t>RE: Legislation for Review and Comment</w:t>
      </w:r>
    </w:p>
    <w:p w:rsidR="00B01435" w:rsidP="00B01435">
      <w:pPr>
        <w:rPr>
          <w:rFonts w:ascii="Times New Roman" w:eastAsia="Times New Roman" w:hAnsi="Times New Roman"/>
          <w:sz w:val="24"/>
          <w:szCs w:val="24"/>
        </w:rPr>
      </w:pPr>
      <w:r>
        <w:rPr>
          <w:rFonts w:eastAsia="Times New Roman"/>
        </w:rPr>
        <w:t xml:space="preserve">﻿ </w:t>
      </w:r>
    </w:p>
    <w:p w:rsidR="00B01435" w:rsidP="00B01435">
      <w:r>
        <w:rPr>
          <w:color w:val="1F497D"/>
          <w:sz w:val="24"/>
          <w:szCs w:val="24"/>
        </w:rPr>
        <w:t xml:space="preserve">Richard: </w:t>
      </w:r>
    </w:p>
    <w:p w:rsidR="00B01435" w:rsidP="00B01435">
      <w:r>
        <w:rPr>
          <w:color w:val="1F497D"/>
          <w:sz w:val="24"/>
          <w:szCs w:val="24"/>
        </w:rPr>
        <w:t> </w:t>
      </w:r>
    </w:p>
    <w:p w:rsidR="00B01435" w:rsidP="00B01435">
      <w:r>
        <w:rPr>
          <w:color w:val="1F497D"/>
          <w:sz w:val="24"/>
          <w:szCs w:val="24"/>
        </w:rPr>
        <w:t xml:space="preserve">Good afternoon.  As the Commercial Lending and Capital Markets Subcommittee, Kip Thornton, Salome </w:t>
      </w:r>
      <w:r>
        <w:rPr>
          <w:color w:val="1F497D"/>
          <w:sz w:val="24"/>
          <w:szCs w:val="24"/>
        </w:rPr>
        <w:t>Zikakis</w:t>
      </w:r>
      <w:r>
        <w:rPr>
          <w:color w:val="1F497D"/>
          <w:sz w:val="24"/>
          <w:szCs w:val="24"/>
        </w:rPr>
        <w:t xml:space="preserve">, and I have reviewed the materials regarding the proposed Business Law Section legislative initiative to amend Sections 9-406 and 9-408 of Florida’s version of the </w:t>
      </w:r>
      <w:r>
        <w:rPr>
          <w:color w:val="1F497D"/>
          <w:sz w:val="24"/>
          <w:szCs w:val="24"/>
        </w:rPr>
        <w:t>UCC</w:t>
      </w:r>
      <w:r>
        <w:rPr>
          <w:color w:val="1F497D"/>
          <w:sz w:val="24"/>
          <w:szCs w:val="24"/>
        </w:rPr>
        <w:t xml:space="preserve"> that you sent us with your email of July 7</w:t>
      </w:r>
      <w:r>
        <w:rPr>
          <w:color w:val="1F497D"/>
          <w:sz w:val="24"/>
          <w:szCs w:val="24"/>
          <w:vertAlign w:val="superscript"/>
        </w:rPr>
        <w:t>th</w:t>
      </w:r>
      <w:r>
        <w:rPr>
          <w:color w:val="1F497D"/>
          <w:sz w:val="24"/>
          <w:szCs w:val="24"/>
        </w:rPr>
        <w:t xml:space="preserve"> below.  </w:t>
      </w:r>
    </w:p>
    <w:p w:rsidR="00B01435" w:rsidP="00B01435">
      <w:r>
        <w:rPr>
          <w:color w:val="1F497D"/>
          <w:sz w:val="24"/>
          <w:szCs w:val="24"/>
        </w:rPr>
        <w:t> </w:t>
      </w:r>
    </w:p>
    <w:p w:rsidR="00B01435" w:rsidP="00B01435">
      <w:r>
        <w:rPr>
          <w:color w:val="1F497D"/>
          <w:sz w:val="24"/>
          <w:szCs w:val="24"/>
        </w:rPr>
        <w:t>We think that many real estate lawyers likely do not realize the nullifying effect of the current statutory language of these two statutes on typical existing contractual transfer restrictions in an LLC operating agreement or partnership agreement.  The conclusion in the White Paper states it best:</w:t>
      </w:r>
    </w:p>
    <w:p w:rsidR="00B01435" w:rsidP="00B01435">
      <w:r>
        <w:rPr>
          <w:color w:val="1F497D"/>
          <w:sz w:val="24"/>
          <w:szCs w:val="24"/>
        </w:rPr>
        <w:t> </w:t>
      </w:r>
    </w:p>
    <w:p w:rsidR="00B01435" w:rsidP="00B01435">
      <w:pPr>
        <w:ind w:left="720"/>
      </w:pPr>
      <w:r>
        <w:rPr>
          <w:color w:val="1F497D"/>
          <w:sz w:val="24"/>
          <w:szCs w:val="24"/>
        </w:rPr>
        <w:t xml:space="preserve">Enacting the 2018 amendments to Florida’s </w:t>
      </w:r>
      <w:r>
        <w:rPr>
          <w:color w:val="1F497D"/>
          <w:sz w:val="24"/>
          <w:szCs w:val="24"/>
        </w:rPr>
        <w:t>UCC</w:t>
      </w:r>
      <w:r>
        <w:rPr>
          <w:color w:val="1F497D"/>
          <w:sz w:val="24"/>
          <w:szCs w:val="24"/>
        </w:rPr>
        <w:t xml:space="preserve"> Sections 9-406 and 9-408 would protect freedom of contract principles that underlie the “pick your partner” doctrine and provide desired clarity to courts, practitioners, and business people that these provisions to not apply to LLC interests and partnership interests, reducing the potential for litigation over these issues.</w:t>
      </w:r>
    </w:p>
    <w:p w:rsidR="00B01435" w:rsidP="00B01435">
      <w:r>
        <w:rPr>
          <w:color w:val="1F497D"/>
          <w:sz w:val="24"/>
          <w:szCs w:val="24"/>
        </w:rPr>
        <w:t> </w:t>
      </w:r>
    </w:p>
    <w:p w:rsidR="00B01435" w:rsidP="00B01435">
      <w:r>
        <w:rPr>
          <w:color w:val="1F497D"/>
          <w:sz w:val="24"/>
          <w:szCs w:val="24"/>
        </w:rPr>
        <w:t>We believe that the proposed legislation will provide greater certainty in transactions involving LLCs and partnerships, because the provisions confirm what most lawyers believe is already true: that a transfer restriction in a duly executed operating agreement or partnership agreement is valid and enforceable on all members and partners.  It thereby preserves the right of the members to choose their partner or other member, without the risk of having a creditor forced upon them in such capacity.</w:t>
      </w:r>
    </w:p>
    <w:p w:rsidR="00B01435" w:rsidP="00B01435">
      <w:r>
        <w:rPr>
          <w:color w:val="1F497D"/>
          <w:sz w:val="24"/>
          <w:szCs w:val="24"/>
        </w:rPr>
        <w:t> </w:t>
      </w:r>
    </w:p>
    <w:p w:rsidR="00B01435" w:rsidP="00B01435">
      <w:r>
        <w:rPr>
          <w:color w:val="1F497D"/>
          <w:sz w:val="24"/>
          <w:szCs w:val="24"/>
        </w:rPr>
        <w:t xml:space="preserve">In addition to the logic of the amendment, we find it reassuring that other states have also enacted these amendments to exclude LLC and partnership ownership interests from the purview of 9-406 and 9-408.  </w:t>
      </w:r>
    </w:p>
    <w:p w:rsidR="00B01435" w:rsidP="00B01435">
      <w:r>
        <w:rPr>
          <w:color w:val="1F497D"/>
          <w:sz w:val="24"/>
          <w:szCs w:val="24"/>
        </w:rPr>
        <w:t> </w:t>
      </w:r>
    </w:p>
    <w:p w:rsidR="00B01435" w:rsidP="00B01435">
      <w:r>
        <w:rPr>
          <w:color w:val="1F497D"/>
          <w:sz w:val="24"/>
          <w:szCs w:val="24"/>
        </w:rPr>
        <w:t>We therefore support the BLS proposed legislation in its current form.  Please let me know if you have any questions.   </w:t>
      </w:r>
    </w:p>
    <w:p w:rsidR="00B01435" w:rsidP="00B01435">
      <w:r>
        <w:rPr>
          <w:color w:val="1F497D"/>
          <w:sz w:val="24"/>
          <w:szCs w:val="24"/>
        </w:rPr>
        <w:t> </w:t>
      </w:r>
    </w:p>
    <w:p w:rsidR="00B01435" w:rsidP="00B01435">
      <w:r>
        <w:rPr>
          <w:color w:val="1F497D"/>
          <w:sz w:val="24"/>
          <w:szCs w:val="24"/>
        </w:rPr>
        <w:t xml:space="preserve">Best regards, </w:t>
      </w:r>
    </w:p>
    <w:p w:rsidR="00B01435" w:rsidP="00B01435">
      <w:r>
        <w:rPr>
          <w:color w:val="1F497D"/>
          <w:sz w:val="24"/>
          <w:szCs w:val="24"/>
        </w:rPr>
        <w:t> </w:t>
      </w:r>
    </w:p>
    <w:p w:rsidR="00B01435" w:rsidP="00B01435">
      <w:r>
        <w:rPr>
          <w:color w:val="1F497D"/>
          <w:sz w:val="24"/>
          <w:szCs w:val="24"/>
        </w:rPr>
        <w:t xml:space="preserve">David </w:t>
      </w:r>
      <w:r>
        <w:rPr>
          <w:color w:val="1F497D"/>
          <w:sz w:val="24"/>
          <w:szCs w:val="24"/>
        </w:rPr>
        <w:t>Brittain</w:t>
      </w:r>
      <w:r>
        <w:rPr>
          <w:color w:val="1F497D"/>
          <w:sz w:val="24"/>
          <w:szCs w:val="24"/>
        </w:rPr>
        <w:t xml:space="preserve"> (Subcommittee Chair)</w:t>
      </w:r>
    </w:p>
    <w:p w:rsidR="00B01435" w:rsidP="00B01435">
      <w:pPr>
        <w:spacing w:before="100" w:beforeAutospacing="1" w:after="100" w:afterAutospacing="1"/>
      </w:pPr>
      <w:r>
        <w:rPr>
          <w:color w:val="003771"/>
          <w:sz w:val="24"/>
          <w:szCs w:val="24"/>
        </w:rPr>
        <w:t> </w:t>
      </w:r>
    </w:p>
    <w:tbl>
      <w:tblPr>
        <w:tblW w:w="5000" w:type="pct"/>
        <w:tblCellMar>
          <w:left w:w="0" w:type="dxa"/>
          <w:right w:w="0" w:type="dxa"/>
        </w:tblCellMar>
        <w:tblLook w:val="04A0"/>
      </w:tblPr>
      <w:tblGrid>
        <w:gridCol w:w="2886"/>
        <w:gridCol w:w="336"/>
        <w:gridCol w:w="6030"/>
        <w:gridCol w:w="108"/>
      </w:tblGrid>
      <w:tr w:rsidTr="00B01435">
        <w:tblPrEx>
          <w:tblW w:w="5000" w:type="pct"/>
          <w:tblCellMar>
            <w:left w:w="0" w:type="dxa"/>
            <w:right w:w="0" w:type="dxa"/>
          </w:tblCellMar>
          <w:tblLook w:val="04A0"/>
        </w:tblPrEx>
        <w:tc>
          <w:tcPr>
            <w:tcW w:w="2925" w:type="dxa"/>
            <w:tcBorders>
              <w:top w:val="single" w:sz="8" w:space="0" w:color="9D9FA2"/>
              <w:left w:val="nil"/>
              <w:bottom w:val="nil"/>
              <w:right w:val="nil"/>
            </w:tcBorders>
            <w:tcMar>
              <w:top w:w="24" w:type="dxa"/>
              <w:left w:w="24" w:type="dxa"/>
              <w:bottom w:w="24" w:type="dxa"/>
              <w:right w:w="24" w:type="dxa"/>
            </w:tcMar>
            <w:hideMark/>
          </w:tcPr>
          <w:p w:rsidR="00B01435">
            <w:pPr>
              <w:spacing w:after="240"/>
              <w:jc w:val="right"/>
            </w:pPr>
            <w:r>
              <w:rPr>
                <w:rFonts w:ascii="Times New Roman" w:hAnsi="Times New Roman"/>
                <w:noProof/>
                <w:color w:val="0000FF"/>
                <w:sz w:val="24"/>
                <w:szCs w:val="24"/>
              </w:rPr>
              <w:drawing>
                <wp:inline distT="0" distB="0" distL="0" distR="0">
                  <wp:extent cx="1771650" cy="457200"/>
                  <wp:effectExtent l="0" t="0" r="0" b="0"/>
                  <wp:docPr id="4" name="Picture 4" descr="Trenam Law">
                    <a:hlinkClick xmlns:a="http://schemas.openxmlformats.org/drawingml/2006/main" xmlns:r="http://schemas.openxmlformats.org/officeDocument/2006/relationships" r:id="rId9"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441313" name="Picture 1" descr="Trenam Law"/>
                          <pic:cNvPicPr>
                            <a:picLocks noChangeAspect="1" noChangeArrowheads="1"/>
                          </pic:cNvPicPr>
                        </pic:nvPicPr>
                        <pic:blipFill>
                          <a:blip xmlns:r="http://schemas.openxmlformats.org/officeDocument/2006/relationships" r:embed="rId10" r:link="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457200"/>
                          </a:xfrm>
                          <a:prstGeom prst="rect">
                            <a:avLst/>
                          </a:prstGeom>
                          <a:noFill/>
                          <a:ln>
                            <a:noFill/>
                          </a:ln>
                        </pic:spPr>
                      </pic:pic>
                    </a:graphicData>
                  </a:graphic>
                </wp:inline>
              </w:drawing>
            </w:r>
          </w:p>
        </w:tc>
        <w:tc>
          <w:tcPr>
            <w:tcW w:w="525" w:type="dxa"/>
            <w:tcBorders>
              <w:top w:val="single" w:sz="8" w:space="0" w:color="9D9FA2"/>
              <w:left w:val="nil"/>
              <w:bottom w:val="nil"/>
              <w:right w:val="nil"/>
            </w:tcBorders>
            <w:tcMar>
              <w:top w:w="24" w:type="dxa"/>
              <w:left w:w="24" w:type="dxa"/>
              <w:bottom w:w="24" w:type="dxa"/>
              <w:right w:w="24" w:type="dxa"/>
            </w:tcMar>
            <w:vAlign w:val="center"/>
            <w:hideMark/>
          </w:tcPr>
          <w:p w:rsidR="00B01435">
            <w:r>
              <w:rPr>
                <w:rFonts w:ascii="Times New Roman" w:hAnsi="Times New Roman"/>
                <w:color w:val="003771"/>
                <w:sz w:val="24"/>
                <w:szCs w:val="24"/>
              </w:rPr>
              <w:t> </w:t>
            </w:r>
          </w:p>
        </w:tc>
        <w:tc>
          <w:tcPr>
            <w:tcW w:w="9750" w:type="dxa"/>
            <w:tcBorders>
              <w:top w:val="single" w:sz="8" w:space="0" w:color="9D9FA2"/>
              <w:left w:val="nil"/>
              <w:bottom w:val="nil"/>
              <w:right w:val="nil"/>
            </w:tcBorders>
            <w:tcMar>
              <w:top w:w="24" w:type="dxa"/>
              <w:left w:w="24" w:type="dxa"/>
              <w:bottom w:w="24" w:type="dxa"/>
              <w:right w:w="24" w:type="dxa"/>
            </w:tcMar>
            <w:hideMark/>
          </w:tcPr>
          <w:p w:rsidR="00B01435">
            <w:pPr>
              <w:spacing w:before="120"/>
            </w:pPr>
            <w:r>
              <w:rPr>
                <w:b/>
                <w:bCs/>
                <w:color w:val="003771"/>
                <w:sz w:val="24"/>
                <w:szCs w:val="24"/>
              </w:rPr>
              <w:t xml:space="preserve">DAVID R. </w:t>
            </w:r>
            <w:r>
              <w:rPr>
                <w:b/>
                <w:bCs/>
                <w:color w:val="003771"/>
                <w:sz w:val="24"/>
                <w:szCs w:val="24"/>
              </w:rPr>
              <w:t>BRITTAIN</w:t>
            </w:r>
            <w:r>
              <w:rPr>
                <w:b/>
                <w:bCs/>
                <w:color w:val="003771"/>
                <w:sz w:val="24"/>
                <w:szCs w:val="24"/>
              </w:rPr>
              <w:t> | ATTORNEY</w:t>
            </w:r>
            <w:r>
              <w:rPr>
                <w:color w:val="003771"/>
                <w:sz w:val="20"/>
                <w:szCs w:val="20"/>
              </w:rPr>
              <w:br/>
              <w:t>Florida Bar Board Certified in Real Estate Law</w:t>
            </w:r>
            <w:r>
              <w:rPr>
                <w:color w:val="003771"/>
                <w:sz w:val="20"/>
                <w:szCs w:val="20"/>
              </w:rPr>
              <w:br/>
              <w:t xml:space="preserve">Dir: 813-227-7444 | Cell: 813-601-6697 | Fax: 813-227-0444 | </w:t>
            </w:r>
            <w:hyperlink r:id="rId4" w:history="1">
              <w:r>
                <w:rPr>
                  <w:rStyle w:val="Hyperlink"/>
                  <w:color w:val="0000FF"/>
                  <w:sz w:val="20"/>
                  <w:szCs w:val="20"/>
                </w:rPr>
                <w:t>email</w:t>
              </w:r>
            </w:hyperlink>
            <w:r>
              <w:rPr>
                <w:color w:val="003771"/>
                <w:sz w:val="20"/>
                <w:szCs w:val="20"/>
              </w:rPr>
              <w:t xml:space="preserve"> | </w:t>
            </w:r>
            <w:hyperlink r:id="rId12" w:history="1">
              <w:r>
                <w:rPr>
                  <w:rStyle w:val="Hyperlink"/>
                  <w:color w:val="0000FF"/>
                  <w:sz w:val="20"/>
                  <w:szCs w:val="20"/>
                </w:rPr>
                <w:t>vcard</w:t>
              </w:r>
            </w:hyperlink>
            <w:r>
              <w:rPr>
                <w:color w:val="003771"/>
                <w:sz w:val="20"/>
                <w:szCs w:val="20"/>
              </w:rPr>
              <w:t xml:space="preserve"> | </w:t>
            </w:r>
            <w:hyperlink r:id="rId13" w:history="1">
              <w:r>
                <w:rPr>
                  <w:rStyle w:val="Hyperlink"/>
                  <w:color w:val="0000FF"/>
                  <w:sz w:val="20"/>
                  <w:szCs w:val="20"/>
                </w:rPr>
                <w:t>bio</w:t>
              </w:r>
            </w:hyperlink>
          </w:p>
        </w:tc>
        <w:tc>
          <w:tcPr>
            <w:tcW w:w="0" w:type="auto"/>
            <w:tcBorders>
              <w:top w:val="single" w:sz="8" w:space="0" w:color="9D9FA2"/>
              <w:left w:val="nil"/>
              <w:bottom w:val="nil"/>
              <w:right w:val="nil"/>
            </w:tcBorders>
            <w:tcMar>
              <w:top w:w="24" w:type="dxa"/>
              <w:left w:w="24" w:type="dxa"/>
              <w:bottom w:w="24" w:type="dxa"/>
              <w:right w:w="24" w:type="dxa"/>
            </w:tcMar>
            <w:hideMark/>
          </w:tcPr>
          <w:p w:rsidR="00B01435">
            <w:r>
              <w:rPr>
                <w:rFonts w:ascii="Times New Roman" w:hAnsi="Times New Roman"/>
                <w:color w:val="003771"/>
                <w:sz w:val="24"/>
                <w:szCs w:val="24"/>
              </w:rPr>
              <w:t> </w:t>
            </w:r>
          </w:p>
        </w:tc>
      </w:tr>
      <w:tr w:rsidTr="00B01435">
        <w:tblPrEx>
          <w:tblW w:w="5000" w:type="pct"/>
          <w:tblCellMar>
            <w:left w:w="0" w:type="dxa"/>
            <w:right w:w="0" w:type="dxa"/>
          </w:tblCellMar>
          <w:tblLook w:val="04A0"/>
        </w:tblPrEx>
        <w:tc>
          <w:tcPr>
            <w:tcW w:w="0" w:type="auto"/>
            <w:tcMar>
              <w:top w:w="24" w:type="dxa"/>
              <w:left w:w="24" w:type="dxa"/>
              <w:bottom w:w="24" w:type="dxa"/>
              <w:right w:w="24" w:type="dxa"/>
            </w:tcMar>
            <w:vAlign w:val="center"/>
            <w:hideMark/>
          </w:tcPr>
          <w:p w:rsidR="00B01435">
            <w:pPr>
              <w:jc w:val="right"/>
            </w:pPr>
            <w:r>
              <w:rPr>
                <w:rFonts w:ascii="Times New Roman" w:hAnsi="Times New Roman"/>
                <w:noProof/>
                <w:color w:val="0000FF"/>
                <w:sz w:val="24"/>
                <w:szCs w:val="24"/>
              </w:rPr>
              <w:drawing>
                <wp:inline distT="0" distB="0" distL="0" distR="0">
                  <wp:extent cx="257175" cy="228600"/>
                  <wp:effectExtent l="0" t="0" r="9525" b="0"/>
                  <wp:docPr id="3" name="Picture 3" descr="cid:image002.png@01D77FD3.015ABDB0">
                    <a:hlinkClick xmlns:a="http://schemas.openxmlformats.org/drawingml/2006/main" xmlns:r="http://schemas.openxmlformats.org/officeDocument/2006/relationships" r:id="rId14"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556631" name="Picture 2" descr="cid:image002.png@01D77FD3.015ABDB0"/>
                          <pic:cNvPicPr>
                            <a:picLocks noChangeAspect="1" noChangeArrowheads="1"/>
                          </pic:cNvPicPr>
                        </pic:nvPicPr>
                        <pic:blipFill>
                          <a:blip xmlns:r="http://schemas.openxmlformats.org/officeDocument/2006/relationships" r:embed="rId15" r:link="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7175" cy="2286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257175" cy="228600"/>
                  <wp:effectExtent l="0" t="0" r="9525" b="0"/>
                  <wp:docPr id="2" name="Picture 2" descr="cid:image003.png@01D77FD3.015ABDB0">
                    <a:hlinkClick xmlns:a="http://schemas.openxmlformats.org/drawingml/2006/main" xmlns:r="http://schemas.openxmlformats.org/officeDocument/2006/relationships" r:id="rId17"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59778" name="Picture 3" descr="cid:image003.png@01D77FD3.015ABDB0"/>
                          <pic:cNvPicPr>
                            <a:picLocks noChangeAspect="1" noChangeArrowheads="1"/>
                          </pic:cNvPicPr>
                        </pic:nvPicPr>
                        <pic:blipFill>
                          <a:blip xmlns:r="http://schemas.openxmlformats.org/officeDocument/2006/relationships" r:embed="rId18" r:link="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7175" cy="2286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257175" cy="228600"/>
                  <wp:effectExtent l="0" t="0" r="9525" b="0"/>
                  <wp:docPr id="1" name="Picture 1" descr="cid:image004.png@01D77FD3.015ABDB0">
                    <a:hlinkClick xmlns:a="http://schemas.openxmlformats.org/drawingml/2006/main" xmlns:r="http://schemas.openxmlformats.org/officeDocument/2006/relationships" r:id="rId20"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485736" name="Picture 4" descr="cid:image004.png@01D77FD3.015ABDB0"/>
                          <pic:cNvPicPr>
                            <a:picLocks noChangeAspect="1" noChangeArrowheads="1"/>
                          </pic:cNvPicPr>
                        </pic:nvPicPr>
                        <pic:blipFill>
                          <a:blip xmlns:r="http://schemas.openxmlformats.org/officeDocument/2006/relationships" r:embed="rId21" r:link="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257175" cy="228600"/>
                          </a:xfrm>
                          <a:prstGeom prst="rect">
                            <a:avLst/>
                          </a:prstGeom>
                          <a:noFill/>
                          <a:ln>
                            <a:noFill/>
                          </a:ln>
                        </pic:spPr>
                      </pic:pic>
                    </a:graphicData>
                  </a:graphic>
                </wp:inline>
              </w:drawing>
            </w:r>
          </w:p>
        </w:tc>
        <w:tc>
          <w:tcPr>
            <w:tcW w:w="0" w:type="auto"/>
            <w:tcMar>
              <w:top w:w="24" w:type="dxa"/>
              <w:left w:w="24" w:type="dxa"/>
              <w:bottom w:w="24" w:type="dxa"/>
              <w:right w:w="24" w:type="dxa"/>
            </w:tcMar>
            <w:vAlign w:val="center"/>
            <w:hideMark/>
          </w:tcPr>
          <w:p w:rsidR="00B01435">
            <w:r>
              <w:rPr>
                <w:rFonts w:ascii="Times New Roman" w:hAnsi="Times New Roman"/>
                <w:color w:val="003771"/>
                <w:sz w:val="24"/>
                <w:szCs w:val="24"/>
              </w:rPr>
              <w:t> </w:t>
            </w:r>
          </w:p>
        </w:tc>
        <w:tc>
          <w:tcPr>
            <w:tcW w:w="0" w:type="auto"/>
            <w:tcMar>
              <w:top w:w="24" w:type="dxa"/>
              <w:left w:w="24" w:type="dxa"/>
              <w:bottom w:w="24" w:type="dxa"/>
              <w:right w:w="24" w:type="dxa"/>
            </w:tcMar>
            <w:vAlign w:val="center"/>
            <w:hideMark/>
          </w:tcPr>
          <w:p w:rsidR="00B01435">
            <w:pPr>
              <w:spacing w:before="100" w:beforeAutospacing="1" w:after="100" w:afterAutospacing="1"/>
            </w:pPr>
            <w:r>
              <w:rPr>
                <w:color w:val="003771"/>
                <w:sz w:val="20"/>
                <w:szCs w:val="20"/>
              </w:rPr>
              <w:t>101 East Kennedy Boulevard, Suite 2700, Tampa, FL 33602</w:t>
            </w:r>
            <w:r>
              <w:rPr>
                <w:color w:val="003771"/>
                <w:sz w:val="20"/>
                <w:szCs w:val="20"/>
              </w:rPr>
              <w:br/>
              <w:t xml:space="preserve">Main: 813-223-7474 | </w:t>
            </w:r>
            <w:hyperlink r:id="rId23" w:history="1">
              <w:r>
                <w:rPr>
                  <w:rStyle w:val="Hyperlink"/>
                  <w:color w:val="0000FF"/>
                  <w:sz w:val="20"/>
                  <w:szCs w:val="20"/>
                </w:rPr>
                <w:t>www.trenam.com</w:t>
              </w:r>
            </w:hyperlink>
          </w:p>
        </w:tc>
        <w:tc>
          <w:tcPr>
            <w:tcW w:w="0" w:type="auto"/>
            <w:tcMar>
              <w:top w:w="24" w:type="dxa"/>
              <w:left w:w="24" w:type="dxa"/>
              <w:bottom w:w="24" w:type="dxa"/>
              <w:right w:w="24" w:type="dxa"/>
            </w:tcMar>
            <w:vAlign w:val="center"/>
            <w:hideMark/>
          </w:tcPr>
          <w:p w:rsidR="00B01435"/>
        </w:tc>
      </w:tr>
    </w:tbl>
    <w:p w:rsidR="00B01435" w:rsidP="00B01435">
      <w:pPr>
        <w:spacing w:after="240"/>
      </w:pPr>
      <w:r>
        <w:rPr>
          <w:color w:val="003771"/>
          <w:sz w:val="24"/>
          <w:szCs w:val="24"/>
        </w:rPr>
        <w:br/>
        <w:t xml:space="preserve">Please visit our website for the latest in </w:t>
      </w:r>
      <w:hyperlink r:id="rId24" w:history="1">
        <w:r>
          <w:rPr>
            <w:rStyle w:val="Hyperlink"/>
            <w:color w:val="0000FF"/>
            <w:sz w:val="24"/>
            <w:szCs w:val="24"/>
          </w:rPr>
          <w:t>COVID-19 Legal Updates</w:t>
        </w:r>
      </w:hyperlink>
      <w:r>
        <w:rPr>
          <w:color w:val="003771"/>
          <w:sz w:val="24"/>
          <w:szCs w:val="24"/>
        </w:rPr>
        <w:t xml:space="preserve">. </w:t>
      </w:r>
    </w:p>
    <w:p w:rsidR="00B01435" w:rsidP="00B01435">
      <w:r>
        <w:rPr>
          <w:color w:val="7D7D7D"/>
          <w:sz w:val="16"/>
          <w:szCs w:val="16"/>
        </w:rPr>
        <w:t>Confidentiality Notice: This e-mail transmission, and any documents, files or previous e-mail messages attached to it may contain confidential information that is legally privileged. If you are not the intended recipient, or a person responsible for delivering it to the intended recipient, you are hereby notified that any disclosure, copying, distribution or use of any of the information contained in or attached to this transmission is STRICTLY PROHIBITED. If you have received this transmission in error, please immediately notify us by reply e-mail, or by telephone at the direct dial number above and destroy the original transmission and its attachments without reading or saving in any manner. Thank you.</w:t>
      </w:r>
    </w:p>
    <w:p w:rsidR="00B01435" w:rsidP="00B01435">
      <w:r>
        <w:rPr>
          <w:color w:val="1F497D"/>
          <w:sz w:val="24"/>
          <w:szCs w:val="24"/>
        </w:rPr>
        <w:t> </w:t>
      </w:r>
    </w:p>
    <w:p w:rsidR="00454C7C">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35"/>
    <w:rsid w:val="00016AC7"/>
    <w:rsid w:val="00017F77"/>
    <w:rsid w:val="000D0371"/>
    <w:rsid w:val="00171B26"/>
    <w:rsid w:val="00203567"/>
    <w:rsid w:val="0021259B"/>
    <w:rsid w:val="00280E0D"/>
    <w:rsid w:val="002D0503"/>
    <w:rsid w:val="002E7504"/>
    <w:rsid w:val="003B3117"/>
    <w:rsid w:val="00454C7C"/>
    <w:rsid w:val="004751C4"/>
    <w:rsid w:val="00602A19"/>
    <w:rsid w:val="006306B1"/>
    <w:rsid w:val="006419D5"/>
    <w:rsid w:val="006960EA"/>
    <w:rsid w:val="007212DF"/>
    <w:rsid w:val="00742F5A"/>
    <w:rsid w:val="00904B22"/>
    <w:rsid w:val="00942E8C"/>
    <w:rsid w:val="00945248"/>
    <w:rsid w:val="00AB7437"/>
    <w:rsid w:val="00AF4D58"/>
    <w:rsid w:val="00B01435"/>
    <w:rsid w:val="00BD759C"/>
    <w:rsid w:val="00C011A7"/>
    <w:rsid w:val="00C013EE"/>
    <w:rsid w:val="00C56580"/>
    <w:rsid w:val="00C66017"/>
    <w:rsid w:val="00CA15C5"/>
    <w:rsid w:val="00CA1BB5"/>
    <w:rsid w:val="00CC37AC"/>
    <w:rsid w:val="00DC2751"/>
    <w:rsid w:val="00EA465A"/>
    <w:rsid w:val="00EC1F93"/>
    <w:rsid w:val="00EC215E"/>
    <w:rsid w:val="00EE2AE4"/>
    <w:rsid w:val="00FB575C"/>
    <w:rsid w:val="00FD27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8A28936-64FC-4537-8E24-64F7FE29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4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4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image" Target="cid:image001.png@01D77FD3.015ABDB0" TargetMode="External" /><Relationship Id="rId12" Type="http://schemas.openxmlformats.org/officeDocument/2006/relationships/hyperlink" Target="https://www.trenam.com/vcards/David-R-Brittain.vcf" TargetMode="External" /><Relationship Id="rId13" Type="http://schemas.openxmlformats.org/officeDocument/2006/relationships/hyperlink" Target="https://www.trenam.com/people-list/david-r-brittain/" TargetMode="External" /><Relationship Id="rId14" Type="http://schemas.openxmlformats.org/officeDocument/2006/relationships/hyperlink" Target="http://www.linkedin.com/company/trenam-kemker" TargetMode="External" /><Relationship Id="rId15" Type="http://schemas.openxmlformats.org/officeDocument/2006/relationships/image" Target="media/image2.png" /><Relationship Id="rId16" Type="http://schemas.openxmlformats.org/officeDocument/2006/relationships/image" Target="cid:image002.png@01D77FD3.015ABDB0" TargetMode="External" /><Relationship Id="rId17" Type="http://schemas.openxmlformats.org/officeDocument/2006/relationships/hyperlink" Target="https://twitter.com/TrenamLaw" TargetMode="External" /><Relationship Id="rId18" Type="http://schemas.openxmlformats.org/officeDocument/2006/relationships/image" Target="media/image3.png" /><Relationship Id="rId19" Type="http://schemas.openxmlformats.org/officeDocument/2006/relationships/image" Target="cid:image003.png@01D77FD3.015ABDB0" TargetMode="External" /><Relationship Id="rId2" Type="http://schemas.openxmlformats.org/officeDocument/2006/relationships/webSettings" Target="webSettings.xml" /><Relationship Id="rId20" Type="http://schemas.openxmlformats.org/officeDocument/2006/relationships/hyperlink" Target="https://www.facebook.com/trenamlaw" TargetMode="External" /><Relationship Id="rId21" Type="http://schemas.openxmlformats.org/officeDocument/2006/relationships/image" Target="media/image4.png" /><Relationship Id="rId22" Type="http://schemas.openxmlformats.org/officeDocument/2006/relationships/image" Target="cid:image004.png@01D77FD3.015ABDB0" TargetMode="External" /><Relationship Id="rId23" Type="http://schemas.openxmlformats.org/officeDocument/2006/relationships/hyperlink" Target="http://www.trenam.com" TargetMode="External" /><Relationship Id="rId24" Type="http://schemas.openxmlformats.org/officeDocument/2006/relationships/hyperlink" Target="https://www.trenam.com/category/coronavirus-news/" TargetMode="External" /><Relationship Id="rId25" Type="http://schemas.openxmlformats.org/officeDocument/2006/relationships/theme" Target="theme/theme1.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mailto:DBrittain@trenam.com" TargetMode="External" /><Relationship Id="rId5" Type="http://schemas.openxmlformats.org/officeDocument/2006/relationships/hyperlink" Target="mailto:RMcIver@kasslaw.com" TargetMode="External" /><Relationship Id="rId6" Type="http://schemas.openxmlformats.org/officeDocument/2006/relationships/hyperlink" Target="mailto:jellison@elattorneys.com" TargetMode="External" /><Relationship Id="rId7" Type="http://schemas.openxmlformats.org/officeDocument/2006/relationships/hyperlink" Target="mailto:szikakis@parziklaw.com" TargetMode="External" /><Relationship Id="rId8" Type="http://schemas.openxmlformats.org/officeDocument/2006/relationships/hyperlink" Target="mailto:KThornton@fishersauls.com" TargetMode="External" /><Relationship Id="rId9" Type="http://schemas.openxmlformats.org/officeDocument/2006/relationships/hyperlink" Target="https://www.trena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Edenfield</dc:creator>
  <cp:lastModifiedBy>Martha Edenfield</cp:lastModifiedBy>
  <cp:revision>1</cp:revision>
  <dcterms:created xsi:type="dcterms:W3CDTF">2021-08-03T20:14:57Z</dcterms:created>
  <dcterms:modified xsi:type="dcterms:W3CDTF">2021-08-03T20:14:57Z</dcterms:modified>
</cp:coreProperties>
</file>