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E53624" w14:textId="77777777" w:rsidR="00E9130C" w:rsidRPr="007941DB" w:rsidRDefault="00682AC0" w:rsidP="002E4D39">
      <w:pPr>
        <w:spacing w:after="0"/>
        <w:jc w:val="center"/>
        <w:rPr>
          <w:rFonts w:ascii="Century Schoolbook" w:hAnsi="Century Schoolbook" w:cs="Times New Roman"/>
          <w:b/>
          <w:bCs/>
          <w:szCs w:val="24"/>
        </w:rPr>
      </w:pPr>
      <w:r w:rsidRPr="007941DB">
        <w:rPr>
          <w:rFonts w:ascii="Century Schoolbook" w:hAnsi="Century Schoolbook" w:cs="Times New Roman"/>
          <w:b/>
          <w:bCs/>
          <w:szCs w:val="24"/>
        </w:rPr>
        <w:t>BUSINESS LAW SECTION</w:t>
      </w:r>
      <w:r w:rsidR="008936A8" w:rsidRPr="007941DB">
        <w:rPr>
          <w:rFonts w:ascii="Century Schoolbook" w:hAnsi="Century Schoolbook" w:cs="Times New Roman"/>
          <w:b/>
          <w:bCs/>
          <w:szCs w:val="24"/>
        </w:rPr>
        <w:t xml:space="preserve"> OF THE FLORIDA BAR</w:t>
      </w:r>
    </w:p>
    <w:p w14:paraId="655ACADC" w14:textId="77777777" w:rsidR="009A7400" w:rsidRDefault="00682AC0" w:rsidP="001B6CDC">
      <w:pPr>
        <w:spacing w:after="0"/>
        <w:jc w:val="center"/>
        <w:rPr>
          <w:rFonts w:ascii="Century Schoolbook" w:hAnsi="Century Schoolbook" w:cs="Times New Roman"/>
          <w:b/>
          <w:bCs/>
          <w:szCs w:val="24"/>
        </w:rPr>
      </w:pPr>
      <w:r w:rsidRPr="007941DB">
        <w:rPr>
          <w:rFonts w:ascii="Century Schoolbook" w:hAnsi="Century Schoolbook" w:cs="Times New Roman"/>
          <w:b/>
          <w:bCs/>
          <w:szCs w:val="24"/>
        </w:rPr>
        <w:t>Direct v. Derivative Task Force</w:t>
      </w:r>
      <w:r w:rsidR="001B6CDC">
        <w:rPr>
          <w:rFonts w:ascii="Century Schoolbook" w:hAnsi="Century Schoolbook" w:cs="Times New Roman"/>
          <w:b/>
          <w:bCs/>
          <w:szCs w:val="24"/>
        </w:rPr>
        <w:t xml:space="preserve"> White Paper</w:t>
      </w:r>
    </w:p>
    <w:p w14:paraId="67253435" w14:textId="77777777" w:rsidR="001B6CDC" w:rsidRPr="007941DB" w:rsidRDefault="001B6CDC" w:rsidP="001B6CDC">
      <w:pPr>
        <w:spacing w:after="0"/>
        <w:jc w:val="center"/>
        <w:rPr>
          <w:rFonts w:ascii="Century Schoolbook" w:hAnsi="Century Schoolbook" w:cs="Times New Roman"/>
          <w:b/>
          <w:bCs/>
          <w:szCs w:val="24"/>
        </w:rPr>
      </w:pPr>
    </w:p>
    <w:p w14:paraId="1950D0BD" w14:textId="77777777" w:rsidR="00A96954" w:rsidRPr="002D476A" w:rsidRDefault="00682AC0" w:rsidP="002D476A">
      <w:pPr>
        <w:jc w:val="center"/>
        <w:rPr>
          <w:rFonts w:ascii="Century Schoolbook" w:hAnsi="Century Schoolbook" w:cs="Times New Roman"/>
          <w:b/>
          <w:bCs/>
          <w:caps/>
          <w:szCs w:val="24"/>
          <w:u w:val="single"/>
        </w:rPr>
      </w:pPr>
      <w:r w:rsidRPr="002D476A">
        <w:rPr>
          <w:rFonts w:ascii="Century Schoolbook" w:hAnsi="Century Schoolbook" w:cs="Times New Roman"/>
          <w:b/>
          <w:bCs/>
          <w:caps/>
          <w:szCs w:val="24"/>
          <w:u w:val="single"/>
        </w:rPr>
        <w:t>Introduction</w:t>
      </w:r>
    </w:p>
    <w:p w14:paraId="5C1C367A" w14:textId="49FB7143" w:rsidR="00620069" w:rsidRPr="007941DB" w:rsidRDefault="00682AC0" w:rsidP="005B0157">
      <w:pPr>
        <w:ind w:firstLine="720"/>
        <w:rPr>
          <w:rFonts w:ascii="Century Schoolbook" w:hAnsi="Century Schoolbook" w:cs="Times New Roman"/>
          <w:szCs w:val="24"/>
        </w:rPr>
      </w:pPr>
      <w:bookmarkStart w:id="0" w:name="cite-63abbcdd-1321-49bb-9cda-024cd5e9299"/>
      <w:bookmarkStart w:id="1" w:name="cite-fa784712-fdc0-4408-83d2-9229bc9cc12"/>
      <w:r>
        <w:rPr>
          <w:rFonts w:ascii="Century Schoolbook" w:hAnsi="Century Schoolbook" w:cs="Times New Roman"/>
          <w:szCs w:val="24"/>
        </w:rPr>
        <w:t>T</w:t>
      </w:r>
      <w:r w:rsidRPr="007941DB">
        <w:rPr>
          <w:rFonts w:ascii="Century Schoolbook" w:hAnsi="Century Schoolbook" w:cs="Times New Roman"/>
          <w:szCs w:val="24"/>
        </w:rPr>
        <w:t>he Florida Revised Limited Liability Company Act, Chapter 605, Florida Statutes (“RLLCA”)</w:t>
      </w:r>
      <w:r>
        <w:rPr>
          <w:rFonts w:ascii="Century Schoolbook" w:hAnsi="Century Schoolbook" w:cs="Times New Roman"/>
          <w:szCs w:val="24"/>
        </w:rPr>
        <w:t xml:space="preserve">, </w:t>
      </w:r>
      <w:r w:rsidRPr="007941DB">
        <w:rPr>
          <w:rFonts w:ascii="Century Schoolbook" w:hAnsi="Century Schoolbook" w:cs="Times New Roman"/>
          <w:szCs w:val="24"/>
        </w:rPr>
        <w:t>the Florida Business Corporation Act, Chapter 607, Florida Statutes (“FBCA”),</w:t>
      </w:r>
      <w:r>
        <w:rPr>
          <w:rFonts w:ascii="Century Schoolbook" w:hAnsi="Century Schoolbook" w:cs="Times New Roman"/>
          <w:szCs w:val="24"/>
        </w:rPr>
        <w:t xml:space="preserve"> and the </w:t>
      </w:r>
      <w:r w:rsidRPr="00096D03">
        <w:rPr>
          <w:rFonts w:ascii="Century Schoolbook" w:hAnsi="Century Schoolbook" w:cs="Times New Roman"/>
          <w:szCs w:val="24"/>
        </w:rPr>
        <w:t>Florida Revised Uniform Limited Partnership Act</w:t>
      </w:r>
      <w:r>
        <w:rPr>
          <w:rFonts w:ascii="Century Schoolbook" w:hAnsi="Century Schoolbook" w:cs="Times New Roman"/>
          <w:szCs w:val="24"/>
        </w:rPr>
        <w:t>, Chapter 620, Florida Statutes</w:t>
      </w:r>
      <w:r w:rsidRPr="00096D03">
        <w:rPr>
          <w:rFonts w:ascii="Century Schoolbook" w:hAnsi="Century Schoolbook" w:cs="Times New Roman"/>
          <w:szCs w:val="24"/>
        </w:rPr>
        <w:t xml:space="preserve"> (“FLPA”)</w:t>
      </w:r>
      <w:r>
        <w:rPr>
          <w:rFonts w:ascii="Century Schoolbook" w:hAnsi="Century Schoolbook" w:cs="Times New Roman"/>
          <w:szCs w:val="24"/>
        </w:rPr>
        <w:t xml:space="preserve">, each </w:t>
      </w:r>
      <w:r w:rsidRPr="007941DB">
        <w:rPr>
          <w:rFonts w:ascii="Century Schoolbook" w:hAnsi="Century Schoolbook" w:cs="Times New Roman"/>
          <w:szCs w:val="24"/>
        </w:rPr>
        <w:t>contain statutory test</w:t>
      </w:r>
      <w:r w:rsidR="00BB5B8C">
        <w:rPr>
          <w:rFonts w:ascii="Century Schoolbook" w:hAnsi="Century Schoolbook" w:cs="Times New Roman"/>
          <w:szCs w:val="24"/>
        </w:rPr>
        <w:t>s</w:t>
      </w:r>
      <w:r w:rsidRPr="007941DB">
        <w:rPr>
          <w:rFonts w:ascii="Century Schoolbook" w:hAnsi="Century Schoolbook" w:cs="Times New Roman"/>
          <w:szCs w:val="24"/>
        </w:rPr>
        <w:t xml:space="preserve"> for</w:t>
      </w:r>
      <w:r w:rsidR="00647C79">
        <w:rPr>
          <w:rFonts w:ascii="Century Schoolbook" w:hAnsi="Century Schoolbook" w:cs="Times New Roman"/>
          <w:szCs w:val="24"/>
        </w:rPr>
        <w:t xml:space="preserve"> maintaining a</w:t>
      </w:r>
      <w:r w:rsidRPr="007941DB">
        <w:rPr>
          <w:rFonts w:ascii="Century Schoolbook" w:hAnsi="Century Schoolbook" w:cs="Times New Roman"/>
          <w:szCs w:val="24"/>
        </w:rPr>
        <w:t xml:space="preserve"> direct action</w:t>
      </w:r>
      <w:r w:rsidR="00647C79">
        <w:rPr>
          <w:rFonts w:ascii="Century Schoolbook" w:hAnsi="Century Schoolbook" w:cs="Times New Roman"/>
          <w:szCs w:val="24"/>
        </w:rPr>
        <w:t>.</w:t>
      </w:r>
      <w:r>
        <w:rPr>
          <w:rFonts w:ascii="Century Schoolbook" w:hAnsi="Century Schoolbook" w:cs="Times New Roman"/>
          <w:szCs w:val="24"/>
        </w:rPr>
        <w:t xml:space="preserve"> </w:t>
      </w:r>
      <w:r w:rsidR="004A5BCD">
        <w:rPr>
          <w:rFonts w:ascii="Century Schoolbook" w:hAnsi="Century Schoolbook" w:cs="Times New Roman"/>
          <w:szCs w:val="24"/>
        </w:rPr>
        <w:t>The FBCA was amended in 2019</w:t>
      </w:r>
      <w:r>
        <w:rPr>
          <w:rFonts w:ascii="Century Schoolbook" w:hAnsi="Century Schoolbook" w:cs="Times New Roman"/>
          <w:szCs w:val="24"/>
        </w:rPr>
        <w:t xml:space="preserve"> to </w:t>
      </w:r>
      <w:r w:rsidRPr="007941DB">
        <w:rPr>
          <w:rFonts w:ascii="Century Schoolbook" w:hAnsi="Century Schoolbook" w:cs="Times New Roman"/>
          <w:szCs w:val="24"/>
        </w:rPr>
        <w:t>require a</w:t>
      </w:r>
      <w:r w:rsidR="004A5BCD">
        <w:rPr>
          <w:rFonts w:ascii="Century Schoolbook" w:hAnsi="Century Schoolbook" w:cs="Times New Roman"/>
          <w:szCs w:val="24"/>
        </w:rPr>
        <w:t xml:space="preserve"> corporate shareholder</w:t>
      </w:r>
      <w:r w:rsidRPr="007941DB">
        <w:rPr>
          <w:rFonts w:ascii="Century Schoolbook" w:hAnsi="Century Schoolbook" w:cs="Times New Roman"/>
          <w:szCs w:val="24"/>
        </w:rPr>
        <w:t xml:space="preserve"> to plead and prove an actual or threatened injury that is “not solely the result of an injury suffered or threatened to be suffered by” the </w:t>
      </w:r>
      <w:r w:rsidR="004A5BCD">
        <w:rPr>
          <w:rFonts w:ascii="Century Schoolbook" w:hAnsi="Century Schoolbook" w:cs="Times New Roman"/>
          <w:szCs w:val="24"/>
        </w:rPr>
        <w:t>corporation</w:t>
      </w:r>
      <w:r w:rsidRPr="007941DB">
        <w:rPr>
          <w:rFonts w:ascii="Century Schoolbook" w:hAnsi="Century Schoolbook" w:cs="Times New Roman"/>
          <w:szCs w:val="24"/>
        </w:rPr>
        <w:t>. This single-prong test is codified at Fla. Stat. § 605.0801 (for LLCs)</w:t>
      </w:r>
      <w:r>
        <w:rPr>
          <w:rFonts w:ascii="Century Schoolbook" w:hAnsi="Century Schoolbook" w:cs="Times New Roman"/>
          <w:szCs w:val="24"/>
        </w:rPr>
        <w:t xml:space="preserve">, </w:t>
      </w:r>
      <w:r w:rsidRPr="007941DB">
        <w:rPr>
          <w:rFonts w:ascii="Century Schoolbook" w:hAnsi="Century Schoolbook" w:cs="Times New Roman"/>
          <w:szCs w:val="24"/>
        </w:rPr>
        <w:t>Fla. Stat. § 607.0750 (for corporations),</w:t>
      </w:r>
      <w:r>
        <w:rPr>
          <w:rStyle w:val="FootnoteReference"/>
          <w:rFonts w:ascii="Century Schoolbook" w:hAnsi="Century Schoolbook" w:cs="Times New Roman"/>
          <w:szCs w:val="24"/>
        </w:rPr>
        <w:footnoteReference w:id="1"/>
      </w:r>
      <w:r>
        <w:rPr>
          <w:rFonts w:ascii="Century Schoolbook" w:hAnsi="Century Schoolbook" w:cs="Times New Roman"/>
          <w:szCs w:val="24"/>
        </w:rPr>
        <w:t xml:space="preserve"> and Fla. Stat</w:t>
      </w:r>
      <w:r w:rsidRPr="007941DB">
        <w:rPr>
          <w:rFonts w:ascii="Century Schoolbook" w:hAnsi="Century Schoolbook" w:cs="Times New Roman"/>
          <w:szCs w:val="24"/>
        </w:rPr>
        <w:t>.</w:t>
      </w:r>
      <w:r>
        <w:rPr>
          <w:rFonts w:ascii="Century Schoolbook" w:hAnsi="Century Schoolbook" w:cs="Times New Roman"/>
          <w:szCs w:val="24"/>
        </w:rPr>
        <w:t xml:space="preserve"> § 620.2001 (for limited partnerships)</w:t>
      </w:r>
      <w:r w:rsidRPr="007941DB">
        <w:rPr>
          <w:rFonts w:ascii="Century Schoolbook" w:hAnsi="Century Schoolbook" w:cs="Times New Roman"/>
          <w:szCs w:val="24"/>
        </w:rPr>
        <w:t>.</w:t>
      </w:r>
      <w:bookmarkEnd w:id="0"/>
    </w:p>
    <w:bookmarkEnd w:id="1"/>
    <w:p w14:paraId="344A63D3" w14:textId="1B65B7B1" w:rsidR="00620069" w:rsidRPr="007941DB" w:rsidRDefault="00682AC0" w:rsidP="005B0157">
      <w:pPr>
        <w:ind w:firstLine="720"/>
        <w:rPr>
          <w:rFonts w:ascii="Century Schoolbook" w:hAnsi="Century Schoolbook" w:cs="Times New Roman"/>
          <w:szCs w:val="24"/>
        </w:rPr>
      </w:pPr>
      <w:r w:rsidRPr="007941DB">
        <w:rPr>
          <w:rFonts w:ascii="Century Schoolbook" w:hAnsi="Century Schoolbook" w:cs="Times New Roman"/>
          <w:szCs w:val="24"/>
        </w:rPr>
        <w:t xml:space="preserve">Despite </w:t>
      </w:r>
      <w:r>
        <w:rPr>
          <w:rFonts w:ascii="Century Schoolbook" w:hAnsi="Century Schoolbook" w:cs="Times New Roman"/>
          <w:szCs w:val="24"/>
        </w:rPr>
        <w:t>the enactment of the one-prong statutory test</w:t>
      </w:r>
      <w:r w:rsidR="00110DE4">
        <w:rPr>
          <w:rFonts w:ascii="Century Schoolbook" w:hAnsi="Century Schoolbook" w:cs="Times New Roman"/>
          <w:szCs w:val="24"/>
        </w:rPr>
        <w:t>s</w:t>
      </w:r>
      <w:r>
        <w:rPr>
          <w:rFonts w:ascii="Century Schoolbook" w:hAnsi="Century Schoolbook" w:cs="Times New Roman"/>
          <w:szCs w:val="24"/>
        </w:rPr>
        <w:t xml:space="preserve"> in 2019, </w:t>
      </w:r>
      <w:r w:rsidRPr="007941DB">
        <w:rPr>
          <w:rFonts w:ascii="Century Schoolbook" w:hAnsi="Century Schoolbook" w:cs="Times New Roman"/>
          <w:szCs w:val="24"/>
        </w:rPr>
        <w:t xml:space="preserve">Florida courts have </w:t>
      </w:r>
      <w:r>
        <w:rPr>
          <w:rFonts w:ascii="Century Schoolbook" w:hAnsi="Century Schoolbook" w:cs="Times New Roman"/>
          <w:szCs w:val="24"/>
        </w:rPr>
        <w:t xml:space="preserve">continued to cite and </w:t>
      </w:r>
      <w:r w:rsidRPr="007941DB">
        <w:rPr>
          <w:rFonts w:ascii="Century Schoolbook" w:hAnsi="Century Schoolbook" w:cs="Times New Roman"/>
          <w:szCs w:val="24"/>
        </w:rPr>
        <w:t>app</w:t>
      </w:r>
      <w:r>
        <w:rPr>
          <w:rFonts w:ascii="Century Schoolbook" w:hAnsi="Century Schoolbook" w:cs="Times New Roman"/>
          <w:szCs w:val="24"/>
        </w:rPr>
        <w:t>ly</w:t>
      </w:r>
      <w:r w:rsidRPr="007941DB">
        <w:rPr>
          <w:rFonts w:ascii="Century Schoolbook" w:hAnsi="Century Schoolbook" w:cs="Times New Roman"/>
          <w:szCs w:val="24"/>
        </w:rPr>
        <w:t xml:space="preserve"> a more restrictive, judicially created two-prong test for </w:t>
      </w:r>
      <w:r w:rsidR="00562654">
        <w:rPr>
          <w:rFonts w:ascii="Century Schoolbook" w:hAnsi="Century Schoolbook" w:cs="Times New Roman"/>
          <w:szCs w:val="24"/>
        </w:rPr>
        <w:t xml:space="preserve">maintaining a </w:t>
      </w:r>
      <w:r w:rsidRPr="007941DB">
        <w:rPr>
          <w:rFonts w:ascii="Century Schoolbook" w:hAnsi="Century Schoolbook" w:cs="Times New Roman"/>
          <w:szCs w:val="24"/>
        </w:rPr>
        <w:t>direct action,</w:t>
      </w:r>
      <w:r w:rsidR="004D70A3">
        <w:rPr>
          <w:rFonts w:ascii="Century Schoolbook" w:hAnsi="Century Schoolbook" w:cs="Times New Roman"/>
          <w:szCs w:val="24"/>
        </w:rPr>
        <w:t xml:space="preserve"> particularly where the entity owner is not relying on a violation of a separate statutory or contractual duty,</w:t>
      </w:r>
      <w:r w:rsidRPr="007941DB">
        <w:rPr>
          <w:rFonts w:ascii="Century Schoolbook" w:hAnsi="Century Schoolbook" w:cs="Times New Roman"/>
          <w:szCs w:val="24"/>
        </w:rPr>
        <w:t xml:space="preserve"> commonly known as the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test. This test, announced by the Third District Court of Appeal in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i/>
          <w:szCs w:val="24"/>
        </w:rPr>
        <w:t xml:space="preserve"> Investments, LLC v. Camacho</w:t>
      </w:r>
      <w:r w:rsidRPr="007941DB">
        <w:rPr>
          <w:rFonts w:ascii="Century Schoolbook" w:hAnsi="Century Schoolbook" w:cs="Times New Roman"/>
          <w:szCs w:val="24"/>
        </w:rPr>
        <w:t xml:space="preserve">, 141 So. 3d 731 (Fla. 3d DCA 2014), requires a plaintiff to show both (1) a “direct harm” that does not flow from an initial harm to the entity and (2) a “special injury” that is separate and distinct from injuries suffered by other owners. </w:t>
      </w:r>
      <w:r w:rsidRPr="007941DB">
        <w:rPr>
          <w:rFonts w:ascii="Century Schoolbook" w:hAnsi="Century Schoolbook" w:cs="Times New Roman"/>
          <w:i/>
          <w:iCs/>
          <w:szCs w:val="24"/>
        </w:rPr>
        <w:t>Id</w:t>
      </w:r>
      <w:r w:rsidRPr="00620069">
        <w:rPr>
          <w:rFonts w:ascii="Century Schoolbook" w:hAnsi="Century Schoolbook" w:cs="Times New Roman"/>
          <w:i/>
          <w:iCs/>
          <w:szCs w:val="24"/>
        </w:rPr>
        <w:t>.</w:t>
      </w:r>
      <w:r w:rsidRPr="007941DB">
        <w:rPr>
          <w:rFonts w:ascii="Century Schoolbook" w:hAnsi="Century Schoolbook" w:cs="Times New Roman"/>
          <w:szCs w:val="24"/>
        </w:rPr>
        <w:t xml:space="preserve"> at 739-40.</w:t>
      </w:r>
    </w:p>
    <w:p w14:paraId="71019ED7" w14:textId="3B7984A4" w:rsidR="00620069" w:rsidRPr="007941DB" w:rsidRDefault="003102F8" w:rsidP="005B0157">
      <w:pPr>
        <w:ind w:firstLine="720"/>
        <w:rPr>
          <w:rFonts w:ascii="Century Schoolbook" w:hAnsi="Century Schoolbook" w:cs="Times New Roman"/>
          <w:szCs w:val="24"/>
        </w:rPr>
      </w:pPr>
      <w:r>
        <w:rPr>
          <w:rFonts w:ascii="Century Schoolbook" w:hAnsi="Century Schoolbook" w:cs="Times New Roman"/>
          <w:szCs w:val="24"/>
        </w:rPr>
        <w:t>Many courts</w:t>
      </w:r>
      <w:r w:rsidR="00682AC0" w:rsidRPr="007941DB">
        <w:rPr>
          <w:rFonts w:ascii="Century Schoolbook" w:hAnsi="Century Schoolbook" w:cs="Times New Roman"/>
          <w:szCs w:val="24"/>
        </w:rPr>
        <w:t xml:space="preserve"> applying </w:t>
      </w:r>
      <w:proofErr w:type="spellStart"/>
      <w:r w:rsidR="00682AC0" w:rsidRPr="007941DB">
        <w:rPr>
          <w:rFonts w:ascii="Century Schoolbook" w:hAnsi="Century Schoolbook" w:cs="Times New Roman"/>
          <w:i/>
          <w:iCs/>
          <w:szCs w:val="24"/>
        </w:rPr>
        <w:t>Dinuro</w:t>
      </w:r>
      <w:proofErr w:type="spellEnd"/>
      <w:r w:rsidR="00682AC0" w:rsidRPr="00620069">
        <w:rPr>
          <w:rFonts w:ascii="Century Schoolbook" w:hAnsi="Century Schoolbook" w:cs="Times New Roman"/>
          <w:szCs w:val="24"/>
        </w:rPr>
        <w:t xml:space="preserve"> </w:t>
      </w:r>
      <w:r w:rsidR="00682AC0" w:rsidRPr="007941DB">
        <w:rPr>
          <w:rFonts w:ascii="Century Schoolbook" w:hAnsi="Century Schoolbook" w:cs="Times New Roman"/>
          <w:szCs w:val="24"/>
        </w:rPr>
        <w:t xml:space="preserve">have also ruled that direct and derivative claims cannot be asserted in the same litigation, holding that a plaintiff cannot “in the same action sue in more than one distinct right or capacity.” </w:t>
      </w:r>
      <w:r w:rsidR="00682AC0" w:rsidRPr="007941DB">
        <w:rPr>
          <w:rFonts w:ascii="Century Schoolbook" w:hAnsi="Century Schoolbook" w:cs="Times New Roman"/>
          <w:i/>
          <w:iCs/>
          <w:szCs w:val="24"/>
        </w:rPr>
        <w:t>DiSorbo v. Am. Van Lines, Inc.</w:t>
      </w:r>
      <w:r w:rsidR="00682AC0" w:rsidRPr="007941DB">
        <w:rPr>
          <w:rFonts w:ascii="Century Schoolbook" w:hAnsi="Century Schoolbook" w:cs="Times New Roman"/>
          <w:szCs w:val="24"/>
        </w:rPr>
        <w:t xml:space="preserve">, 354 So. 3d 530, 544 (Fla. 4th DCA 2023). This ignores the fact that many plaintiffs in entity litigation have facts that encompass both direct and derivative claims, and </w:t>
      </w:r>
      <w:r w:rsidR="004C653B">
        <w:rPr>
          <w:rFonts w:ascii="Century Schoolbook" w:hAnsi="Century Schoolbook" w:cs="Times New Roman"/>
          <w:szCs w:val="24"/>
        </w:rPr>
        <w:t xml:space="preserve">that </w:t>
      </w:r>
      <w:r w:rsidR="00682AC0" w:rsidRPr="007941DB">
        <w:rPr>
          <w:rFonts w:ascii="Century Schoolbook" w:hAnsi="Century Schoolbook" w:cs="Times New Roman"/>
          <w:szCs w:val="24"/>
        </w:rPr>
        <w:t xml:space="preserve">requiring separate </w:t>
      </w:r>
      <w:r w:rsidR="00875E09">
        <w:rPr>
          <w:rFonts w:ascii="Century Schoolbook" w:hAnsi="Century Schoolbook" w:cs="Times New Roman"/>
          <w:szCs w:val="24"/>
        </w:rPr>
        <w:t>proceedings</w:t>
      </w:r>
      <w:r w:rsidR="004C653B">
        <w:rPr>
          <w:rFonts w:ascii="Century Schoolbook" w:hAnsi="Century Schoolbook" w:cs="Times New Roman"/>
          <w:szCs w:val="24"/>
        </w:rPr>
        <w:t xml:space="preserve"> tends to </w:t>
      </w:r>
      <w:r w:rsidR="00682AC0" w:rsidRPr="007941DB">
        <w:rPr>
          <w:rFonts w:ascii="Century Schoolbook" w:hAnsi="Century Schoolbook" w:cs="Times New Roman"/>
          <w:szCs w:val="24"/>
        </w:rPr>
        <w:t>duplicate work for parties, judges, and juries.</w:t>
      </w:r>
    </w:p>
    <w:p w14:paraId="5A830126" w14:textId="150C3AF8" w:rsidR="00620069" w:rsidRPr="007941DB" w:rsidRDefault="00682AC0" w:rsidP="00F215E7">
      <w:pPr>
        <w:ind w:firstLine="720"/>
        <w:rPr>
          <w:rFonts w:ascii="Century Schoolbook" w:hAnsi="Century Schoolbook" w:cs="Times New Roman"/>
          <w:szCs w:val="24"/>
        </w:rPr>
      </w:pPr>
      <w:r w:rsidRPr="007941DB">
        <w:rPr>
          <w:rFonts w:ascii="Century Schoolbook" w:hAnsi="Century Schoolbook" w:cs="Times New Roman"/>
          <w:szCs w:val="24"/>
        </w:rPr>
        <w:t xml:space="preserve">The Task Force originated out of concerns </w:t>
      </w:r>
      <w:r>
        <w:rPr>
          <w:rFonts w:ascii="Century Schoolbook" w:hAnsi="Century Schoolbook" w:cs="Times New Roman"/>
          <w:szCs w:val="24"/>
        </w:rPr>
        <w:t xml:space="preserve">about </w:t>
      </w:r>
      <w:r w:rsidRPr="007941DB">
        <w:rPr>
          <w:rFonts w:ascii="Century Schoolbook" w:hAnsi="Century Schoolbook" w:cs="Times New Roman"/>
          <w:szCs w:val="24"/>
        </w:rPr>
        <w:t xml:space="preserve">the </w:t>
      </w:r>
      <w:r>
        <w:rPr>
          <w:rFonts w:ascii="Century Schoolbook" w:hAnsi="Century Schoolbook" w:cs="Times New Roman"/>
          <w:szCs w:val="24"/>
        </w:rPr>
        <w:t>conflict between the one-prong statutory test</w:t>
      </w:r>
      <w:r w:rsidR="00795D68">
        <w:rPr>
          <w:rFonts w:ascii="Century Schoolbook" w:hAnsi="Century Schoolbook" w:cs="Times New Roman"/>
          <w:szCs w:val="24"/>
        </w:rPr>
        <w:t>s</w:t>
      </w:r>
      <w:r>
        <w:rPr>
          <w:rFonts w:ascii="Century Schoolbook" w:hAnsi="Century Schoolbook" w:cs="Times New Roman"/>
          <w:szCs w:val="24"/>
        </w:rPr>
        <w:t xml:space="preserve"> and the judicially created </w:t>
      </w:r>
      <w:proofErr w:type="spellStart"/>
      <w:r>
        <w:rPr>
          <w:rFonts w:ascii="Century Schoolbook" w:hAnsi="Century Schoolbook" w:cs="Times New Roman"/>
          <w:i/>
          <w:iCs/>
          <w:szCs w:val="24"/>
        </w:rPr>
        <w:t>Dinuro</w:t>
      </w:r>
      <w:proofErr w:type="spellEnd"/>
      <w:r w:rsidRPr="00620069">
        <w:rPr>
          <w:rFonts w:ascii="Century Schoolbook" w:hAnsi="Century Schoolbook" w:cs="Times New Roman"/>
          <w:szCs w:val="24"/>
        </w:rPr>
        <w:t xml:space="preserve"> </w:t>
      </w:r>
      <w:r>
        <w:rPr>
          <w:rFonts w:ascii="Century Schoolbook" w:hAnsi="Century Schoolbook" w:cs="Times New Roman"/>
          <w:szCs w:val="24"/>
        </w:rPr>
        <w:t>test and its progeny. The Task Force also identified issues with inconsistent application of the statutory test</w:t>
      </w:r>
      <w:r w:rsidR="0050608B">
        <w:rPr>
          <w:rFonts w:ascii="Century Schoolbook" w:hAnsi="Century Schoolbook" w:cs="Times New Roman"/>
          <w:szCs w:val="24"/>
        </w:rPr>
        <w:t>s</w:t>
      </w:r>
      <w:r>
        <w:rPr>
          <w:rFonts w:ascii="Century Schoolbook" w:hAnsi="Century Schoolbook" w:cs="Times New Roman"/>
          <w:szCs w:val="24"/>
        </w:rPr>
        <w:t xml:space="preserve"> due to continued reliance on </w:t>
      </w:r>
      <w:proofErr w:type="spellStart"/>
      <w:r>
        <w:rPr>
          <w:rFonts w:ascii="Century Schoolbook" w:hAnsi="Century Schoolbook" w:cs="Times New Roman"/>
          <w:i/>
          <w:iCs/>
          <w:szCs w:val="24"/>
        </w:rPr>
        <w:t>Dinuro</w:t>
      </w:r>
      <w:proofErr w:type="spellEnd"/>
      <w:r>
        <w:rPr>
          <w:rFonts w:ascii="Century Schoolbook" w:hAnsi="Century Schoolbook" w:cs="Times New Roman"/>
          <w:szCs w:val="24"/>
        </w:rPr>
        <w:t xml:space="preserve"> and its progeny. The Task Force held numerous meetings to review and analyze the statutes and relevant case law, as well as statutes of other jurisdictions concerning standing in direct actions. </w:t>
      </w:r>
      <w:r w:rsidRPr="007941DB">
        <w:rPr>
          <w:rFonts w:ascii="Century Schoolbook" w:hAnsi="Century Schoolbook" w:cs="Times New Roman"/>
          <w:szCs w:val="24"/>
        </w:rPr>
        <w:t xml:space="preserve">As a result, the Task Force </w:t>
      </w:r>
      <w:r>
        <w:rPr>
          <w:rFonts w:ascii="Century Schoolbook" w:hAnsi="Century Schoolbook" w:cs="Times New Roman"/>
          <w:szCs w:val="24"/>
        </w:rPr>
        <w:t>determined</w:t>
      </w:r>
      <w:r w:rsidRPr="007941DB">
        <w:rPr>
          <w:rFonts w:ascii="Century Schoolbook" w:hAnsi="Century Schoolbook" w:cs="Times New Roman"/>
          <w:szCs w:val="24"/>
        </w:rPr>
        <w:t xml:space="preserve"> that amendments to </w:t>
      </w:r>
      <w:r>
        <w:rPr>
          <w:rFonts w:ascii="Century Schoolbook" w:hAnsi="Century Schoolbook" w:cs="Times New Roman"/>
          <w:szCs w:val="24"/>
        </w:rPr>
        <w:t>Florida Statute</w:t>
      </w:r>
      <w:r w:rsidRPr="007941DB">
        <w:rPr>
          <w:rFonts w:ascii="Century Schoolbook" w:hAnsi="Century Schoolbook" w:cs="Times New Roman"/>
          <w:szCs w:val="24"/>
        </w:rPr>
        <w:t>s</w:t>
      </w:r>
      <w:r>
        <w:rPr>
          <w:rFonts w:ascii="Century Schoolbook" w:hAnsi="Century Schoolbook" w:cs="Times New Roman"/>
          <w:szCs w:val="24"/>
        </w:rPr>
        <w:t xml:space="preserve"> </w:t>
      </w:r>
      <w:r w:rsidRPr="007941DB">
        <w:rPr>
          <w:rFonts w:ascii="Century Schoolbook" w:hAnsi="Century Schoolbook" w:cs="Times New Roman"/>
          <w:szCs w:val="24"/>
        </w:rPr>
        <w:t>sections 605.0801</w:t>
      </w:r>
      <w:r>
        <w:rPr>
          <w:rFonts w:ascii="Century Schoolbook" w:hAnsi="Century Schoolbook" w:cs="Times New Roman"/>
          <w:szCs w:val="24"/>
        </w:rPr>
        <w:t xml:space="preserve">, 605.0802, 607.0742, </w:t>
      </w:r>
      <w:r w:rsidRPr="007941DB">
        <w:rPr>
          <w:rFonts w:ascii="Century Schoolbook" w:hAnsi="Century Schoolbook" w:cs="Times New Roman"/>
          <w:szCs w:val="24"/>
        </w:rPr>
        <w:t>607.0750</w:t>
      </w:r>
      <w:r>
        <w:rPr>
          <w:rFonts w:ascii="Century Schoolbook" w:hAnsi="Century Schoolbook" w:cs="Times New Roman"/>
          <w:szCs w:val="24"/>
        </w:rPr>
        <w:t>, 620.2001,</w:t>
      </w:r>
      <w:r w:rsidRPr="007941DB">
        <w:rPr>
          <w:rFonts w:ascii="Century Schoolbook" w:hAnsi="Century Schoolbook" w:cs="Times New Roman"/>
          <w:szCs w:val="24"/>
        </w:rPr>
        <w:t xml:space="preserve"> and</w:t>
      </w:r>
      <w:r>
        <w:rPr>
          <w:rFonts w:ascii="Century Schoolbook" w:hAnsi="Century Schoolbook" w:cs="Times New Roman"/>
          <w:szCs w:val="24"/>
        </w:rPr>
        <w:t xml:space="preserve"> 620.2002</w:t>
      </w:r>
      <w:r w:rsidRPr="007941DB">
        <w:rPr>
          <w:rFonts w:ascii="Century Schoolbook" w:hAnsi="Century Schoolbook" w:cs="Times New Roman"/>
          <w:szCs w:val="24"/>
        </w:rPr>
        <w:t xml:space="preserve"> would resolve the conflict between the </w:t>
      </w:r>
      <w:r w:rsidRPr="007941DB">
        <w:rPr>
          <w:rFonts w:ascii="Century Schoolbook" w:hAnsi="Century Schoolbook" w:cs="Times New Roman"/>
          <w:szCs w:val="24"/>
        </w:rPr>
        <w:lastRenderedPageBreak/>
        <w:t xml:space="preserve">statutes and the case law, </w:t>
      </w:r>
      <w:r w:rsidR="0050608B">
        <w:rPr>
          <w:rFonts w:ascii="Century Schoolbook" w:hAnsi="Century Schoolbook" w:cs="Times New Roman"/>
          <w:szCs w:val="24"/>
        </w:rPr>
        <w:t xml:space="preserve">would </w:t>
      </w:r>
      <w:r w:rsidR="003577DB" w:rsidRPr="007941DB">
        <w:rPr>
          <w:rFonts w:ascii="Century Schoolbook" w:hAnsi="Century Schoolbook" w:cs="Times New Roman"/>
          <w:szCs w:val="24"/>
        </w:rPr>
        <w:t>re</w:t>
      </w:r>
      <w:r w:rsidR="003577DB">
        <w:rPr>
          <w:rFonts w:ascii="Century Schoolbook" w:hAnsi="Century Schoolbook" w:cs="Times New Roman"/>
          <w:szCs w:val="24"/>
        </w:rPr>
        <w:t>affirm</w:t>
      </w:r>
      <w:r w:rsidR="003577DB" w:rsidRPr="007941DB">
        <w:rPr>
          <w:rFonts w:ascii="Century Schoolbook" w:hAnsi="Century Schoolbook" w:cs="Times New Roman"/>
          <w:szCs w:val="24"/>
        </w:rPr>
        <w:t xml:space="preserve"> </w:t>
      </w:r>
      <w:r w:rsidRPr="007941DB">
        <w:rPr>
          <w:rFonts w:ascii="Century Schoolbook" w:hAnsi="Century Schoolbook" w:cs="Times New Roman"/>
          <w:szCs w:val="24"/>
        </w:rPr>
        <w:t xml:space="preserve">the intent for Florida to utilize a one-prong test for </w:t>
      </w:r>
      <w:r w:rsidR="0050608B">
        <w:rPr>
          <w:rFonts w:ascii="Century Schoolbook" w:hAnsi="Century Schoolbook" w:cs="Times New Roman"/>
          <w:szCs w:val="24"/>
        </w:rPr>
        <w:t>maintaining</w:t>
      </w:r>
      <w:r w:rsidRPr="007941DB">
        <w:rPr>
          <w:rFonts w:ascii="Century Schoolbook" w:hAnsi="Century Schoolbook" w:cs="Times New Roman"/>
          <w:szCs w:val="24"/>
        </w:rPr>
        <w:t xml:space="preserve"> direct action</w:t>
      </w:r>
      <w:r w:rsidR="0050608B">
        <w:rPr>
          <w:rFonts w:ascii="Century Schoolbook" w:hAnsi="Century Schoolbook" w:cs="Times New Roman"/>
          <w:szCs w:val="24"/>
        </w:rPr>
        <w:t>s</w:t>
      </w:r>
      <w:r w:rsidRPr="007941DB">
        <w:rPr>
          <w:rFonts w:ascii="Century Schoolbook" w:hAnsi="Century Schoolbook" w:cs="Times New Roman"/>
          <w:szCs w:val="24"/>
        </w:rPr>
        <w:t xml:space="preserve">, and </w:t>
      </w:r>
      <w:r w:rsidR="004059E5">
        <w:rPr>
          <w:rFonts w:ascii="Century Schoolbook" w:hAnsi="Century Schoolbook" w:cs="Times New Roman"/>
          <w:szCs w:val="24"/>
        </w:rPr>
        <w:t xml:space="preserve">would </w:t>
      </w:r>
      <w:r w:rsidRPr="007941DB">
        <w:rPr>
          <w:rFonts w:ascii="Century Schoolbook" w:hAnsi="Century Schoolbook" w:cs="Times New Roman"/>
          <w:szCs w:val="24"/>
        </w:rPr>
        <w:t xml:space="preserve">authorize the joining of direct and derivative claims in a single </w:t>
      </w:r>
      <w:r w:rsidR="00D67E22">
        <w:rPr>
          <w:rFonts w:ascii="Century Schoolbook" w:hAnsi="Century Schoolbook" w:cs="Times New Roman"/>
          <w:szCs w:val="24"/>
        </w:rPr>
        <w:t>proceeding</w:t>
      </w:r>
      <w:r>
        <w:rPr>
          <w:rFonts w:ascii="Century Schoolbook" w:hAnsi="Century Schoolbook" w:cs="Times New Roman"/>
          <w:szCs w:val="24"/>
        </w:rPr>
        <w:t>, so long as they involve a common question of law or fact</w:t>
      </w:r>
      <w:r w:rsidRPr="007941DB">
        <w:rPr>
          <w:rFonts w:ascii="Century Schoolbook" w:hAnsi="Century Schoolbook" w:cs="Times New Roman"/>
          <w:szCs w:val="24"/>
        </w:rPr>
        <w:t>. The proposed statutory amendment</w:t>
      </w:r>
      <w:r>
        <w:rPr>
          <w:rFonts w:ascii="Century Schoolbook" w:hAnsi="Century Schoolbook" w:cs="Times New Roman"/>
          <w:szCs w:val="24"/>
        </w:rPr>
        <w:t>s</w:t>
      </w:r>
      <w:r w:rsidRPr="007941DB">
        <w:rPr>
          <w:rFonts w:ascii="Century Schoolbook" w:hAnsi="Century Schoolbook" w:cs="Times New Roman"/>
          <w:szCs w:val="24"/>
        </w:rPr>
        <w:t xml:space="preserve"> will provide significant benefits to the administration of justice by, among other things</w:t>
      </w:r>
      <w:r w:rsidR="00D67E22">
        <w:rPr>
          <w:rFonts w:ascii="Century Schoolbook" w:hAnsi="Century Schoolbook" w:cs="Times New Roman"/>
          <w:szCs w:val="24"/>
        </w:rPr>
        <w:t>:</w:t>
      </w:r>
      <w:r w:rsidRPr="007941DB">
        <w:rPr>
          <w:rFonts w:ascii="Century Schoolbook" w:hAnsi="Century Schoolbook" w:cs="Times New Roman"/>
          <w:szCs w:val="24"/>
        </w:rPr>
        <w:t xml:space="preserve"> (i) providing a clear</w:t>
      </w:r>
      <w:r w:rsidR="00D67E22">
        <w:rPr>
          <w:rFonts w:ascii="Century Schoolbook" w:hAnsi="Century Schoolbook" w:cs="Times New Roman"/>
          <w:szCs w:val="24"/>
        </w:rPr>
        <w:t xml:space="preserve"> and</w:t>
      </w:r>
      <w:r w:rsidRPr="007941DB">
        <w:rPr>
          <w:rFonts w:ascii="Century Schoolbook" w:hAnsi="Century Schoolbook" w:cs="Times New Roman"/>
          <w:szCs w:val="24"/>
        </w:rPr>
        <w:t xml:space="preserve"> concise statutory test for </w:t>
      </w:r>
      <w:r w:rsidR="00460251">
        <w:rPr>
          <w:rFonts w:ascii="Century Schoolbook" w:hAnsi="Century Schoolbook" w:cs="Times New Roman"/>
          <w:szCs w:val="24"/>
        </w:rPr>
        <w:t xml:space="preserve">establishing requirements for maintaining </w:t>
      </w:r>
      <w:r w:rsidRPr="007941DB">
        <w:rPr>
          <w:rFonts w:ascii="Century Schoolbook" w:hAnsi="Century Schoolbook" w:cs="Times New Roman"/>
          <w:szCs w:val="24"/>
        </w:rPr>
        <w:t>direct action litigation, (ii) eliminating confusion or conflict created by varying</w:t>
      </w:r>
      <w:r w:rsidR="00D67E22">
        <w:rPr>
          <w:rFonts w:ascii="Century Schoolbook" w:hAnsi="Century Schoolbook" w:cs="Times New Roman"/>
          <w:szCs w:val="24"/>
        </w:rPr>
        <w:t xml:space="preserve"> judicial</w:t>
      </w:r>
      <w:r w:rsidRPr="007941DB">
        <w:rPr>
          <w:rFonts w:ascii="Century Schoolbook" w:hAnsi="Century Schoolbook" w:cs="Times New Roman"/>
          <w:szCs w:val="24"/>
        </w:rPr>
        <w:t xml:space="preserve"> opinions, (iii) serving judicial economy, and (iv) allowing parties and counsel to far more easily assess and address </w:t>
      </w:r>
      <w:r w:rsidR="00460251">
        <w:rPr>
          <w:rFonts w:ascii="Century Schoolbook" w:hAnsi="Century Schoolbook" w:cs="Times New Roman"/>
          <w:szCs w:val="24"/>
        </w:rPr>
        <w:t>the maintenance requirements for a direct action</w:t>
      </w:r>
      <w:r w:rsidRPr="007941DB">
        <w:rPr>
          <w:rFonts w:ascii="Century Schoolbook" w:hAnsi="Century Schoolbook" w:cs="Times New Roman"/>
          <w:szCs w:val="24"/>
        </w:rPr>
        <w:t xml:space="preserve"> prior to commencing litigation.</w:t>
      </w:r>
    </w:p>
    <w:p w14:paraId="234F0738" w14:textId="77777777" w:rsidR="00A96954" w:rsidRPr="002D476A" w:rsidRDefault="00682AC0" w:rsidP="002D476A">
      <w:pPr>
        <w:jc w:val="center"/>
        <w:rPr>
          <w:rFonts w:ascii="Century Schoolbook" w:hAnsi="Century Schoolbook" w:cs="Times New Roman"/>
          <w:b/>
          <w:bCs/>
          <w:caps/>
          <w:szCs w:val="24"/>
          <w:u w:val="single"/>
        </w:rPr>
      </w:pPr>
      <w:r w:rsidRPr="002D476A">
        <w:rPr>
          <w:rFonts w:ascii="Century Schoolbook" w:hAnsi="Century Schoolbook" w:cs="Times New Roman"/>
          <w:b/>
          <w:bCs/>
          <w:caps/>
          <w:szCs w:val="24"/>
          <w:u w:val="single"/>
        </w:rPr>
        <w:t>Background</w:t>
      </w:r>
    </w:p>
    <w:p w14:paraId="29D4A6F1" w14:textId="77777777" w:rsidR="00A96954" w:rsidRPr="007941DB" w:rsidRDefault="00682AC0" w:rsidP="009B5854">
      <w:pPr>
        <w:jc w:val="center"/>
        <w:rPr>
          <w:rFonts w:ascii="Century Schoolbook" w:hAnsi="Century Schoolbook" w:cs="Times New Roman"/>
          <w:i/>
          <w:iCs/>
          <w:szCs w:val="24"/>
          <w:u w:val="single"/>
        </w:rPr>
      </w:pPr>
      <w:r w:rsidRPr="007941DB">
        <w:rPr>
          <w:rFonts w:ascii="Century Schoolbook" w:hAnsi="Century Schoolbook" w:cs="Times New Roman"/>
          <w:i/>
          <w:iCs/>
          <w:szCs w:val="24"/>
          <w:u w:val="single"/>
        </w:rPr>
        <w:t>Origins of the Statutory Provisions</w:t>
      </w:r>
    </w:p>
    <w:p w14:paraId="2B791FC7" w14:textId="068E8B1F" w:rsidR="00620069" w:rsidRPr="007941DB" w:rsidRDefault="00682AC0" w:rsidP="00DE0C99">
      <w:pPr>
        <w:ind w:firstLine="720"/>
        <w:rPr>
          <w:rFonts w:ascii="Century Schoolbook" w:hAnsi="Century Schoolbook" w:cs="Times New Roman"/>
          <w:szCs w:val="24"/>
        </w:rPr>
      </w:pPr>
      <w:bookmarkStart w:id="2" w:name="cite-cc12cd7e-e065-4164-b581-cb77d93bd70"/>
      <w:bookmarkStart w:id="3" w:name="cite-67aeb347-c9a2-480d-b078-8262b9be431"/>
      <w:bookmarkStart w:id="4" w:name="cite-b316845d-b488-47cb-bf7e-7955cdcf52d"/>
      <w:r w:rsidRPr="007941DB">
        <w:rPr>
          <w:rFonts w:ascii="Century Schoolbook" w:hAnsi="Century Schoolbook" w:cs="Times New Roman"/>
          <w:szCs w:val="24"/>
        </w:rPr>
        <w:t xml:space="preserve">Florida’s statutory framework for direct and derivative actions by entity owners is found in </w:t>
      </w:r>
      <w:r>
        <w:rPr>
          <w:rFonts w:ascii="Century Schoolbook" w:hAnsi="Century Schoolbook" w:cs="Times New Roman"/>
          <w:szCs w:val="24"/>
        </w:rPr>
        <w:t>three</w:t>
      </w:r>
      <w:r w:rsidRPr="007941DB">
        <w:rPr>
          <w:rFonts w:ascii="Century Schoolbook" w:hAnsi="Century Schoolbook" w:cs="Times New Roman"/>
          <w:szCs w:val="24"/>
        </w:rPr>
        <w:t xml:space="preserve"> parallel chapters of the Florida Statutes. </w:t>
      </w:r>
      <w:r>
        <w:rPr>
          <w:rFonts w:ascii="Century Schoolbook" w:hAnsi="Century Schoolbook" w:cs="Times New Roman"/>
          <w:szCs w:val="24"/>
        </w:rPr>
        <w:t>First is the FLPA, enacted in 2005</w:t>
      </w:r>
      <w:r w:rsidR="00DE0C99">
        <w:rPr>
          <w:rFonts w:ascii="Century Schoolbook" w:hAnsi="Century Schoolbook" w:cs="Times New Roman"/>
          <w:szCs w:val="24"/>
        </w:rPr>
        <w:t xml:space="preserve"> (with an effective date of January 1, </w:t>
      </w:r>
      <w:proofErr w:type="gramStart"/>
      <w:r w:rsidR="00DE0C99">
        <w:rPr>
          <w:rFonts w:ascii="Century Schoolbook" w:hAnsi="Century Schoolbook" w:cs="Times New Roman"/>
          <w:szCs w:val="24"/>
        </w:rPr>
        <w:t>2006</w:t>
      </w:r>
      <w:proofErr w:type="gramEnd"/>
      <w:r w:rsidR="00DE0C99">
        <w:rPr>
          <w:rFonts w:ascii="Century Schoolbook" w:hAnsi="Century Schoolbook" w:cs="Times New Roman"/>
          <w:szCs w:val="24"/>
        </w:rPr>
        <w:t xml:space="preserve"> or January 1, 2007, depending on a partnership’s date of formation or election)</w:t>
      </w:r>
      <w:r>
        <w:rPr>
          <w:rFonts w:ascii="Century Schoolbook" w:hAnsi="Century Schoolbook" w:cs="Times New Roman"/>
          <w:szCs w:val="24"/>
        </w:rPr>
        <w:t xml:space="preserve">, which led to the formation of the RLLCA. </w:t>
      </w:r>
      <w:r w:rsidR="00BB3492">
        <w:rPr>
          <w:rFonts w:ascii="Century Schoolbook" w:hAnsi="Century Schoolbook" w:cs="Times New Roman"/>
          <w:szCs w:val="24"/>
        </w:rPr>
        <w:t>Second is the</w:t>
      </w:r>
      <w:r w:rsidRPr="007941DB">
        <w:rPr>
          <w:rFonts w:ascii="Century Schoolbook" w:hAnsi="Century Schoolbook" w:cs="Times New Roman"/>
          <w:szCs w:val="24"/>
        </w:rPr>
        <w:t xml:space="preserve"> RLLCA, which was modeled on the Revised Uniform Limited Liability Company Act,</w:t>
      </w:r>
      <w:r w:rsidR="00BE5A2D">
        <w:rPr>
          <w:rFonts w:ascii="Century Schoolbook" w:hAnsi="Century Schoolbook" w:cs="Times New Roman"/>
          <w:szCs w:val="24"/>
        </w:rPr>
        <w:t xml:space="preserve"> and</w:t>
      </w:r>
      <w:r w:rsidRPr="007941DB">
        <w:rPr>
          <w:rFonts w:ascii="Century Schoolbook" w:hAnsi="Century Schoolbook" w:cs="Times New Roman"/>
          <w:szCs w:val="24"/>
        </w:rPr>
        <w:t xml:space="preserve"> was enacted in </w:t>
      </w:r>
      <w:r w:rsidR="00DE0C99">
        <w:rPr>
          <w:rFonts w:ascii="Century Schoolbook" w:hAnsi="Century Schoolbook" w:cs="Times New Roman"/>
          <w:szCs w:val="24"/>
        </w:rPr>
        <w:t xml:space="preserve">2013 (with an effective date of January 1, </w:t>
      </w:r>
      <w:proofErr w:type="gramStart"/>
      <w:r w:rsidR="00DE0C99">
        <w:rPr>
          <w:rFonts w:ascii="Century Schoolbook" w:hAnsi="Century Schoolbook" w:cs="Times New Roman"/>
          <w:szCs w:val="24"/>
        </w:rPr>
        <w:t>2014</w:t>
      </w:r>
      <w:proofErr w:type="gramEnd"/>
      <w:r w:rsidR="00DE0C99">
        <w:rPr>
          <w:rFonts w:ascii="Century Schoolbook" w:hAnsi="Century Schoolbook" w:cs="Times New Roman"/>
          <w:szCs w:val="24"/>
        </w:rPr>
        <w:t xml:space="preserve"> or 2015, depending on LLC’s date of organization or election)</w:t>
      </w:r>
      <w:r w:rsidRPr="007941DB">
        <w:rPr>
          <w:rFonts w:ascii="Century Schoolbook" w:hAnsi="Century Schoolbook" w:cs="Times New Roman"/>
          <w:szCs w:val="24"/>
        </w:rPr>
        <w:t>. The</w:t>
      </w:r>
      <w:bookmarkEnd w:id="2"/>
      <w:r w:rsidR="002A428D">
        <w:rPr>
          <w:rFonts w:ascii="Century Schoolbook" w:hAnsi="Century Schoolbook" w:cs="Times New Roman"/>
          <w:szCs w:val="24"/>
        </w:rPr>
        <w:t xml:space="preserve"> third is the</w:t>
      </w:r>
      <w:r w:rsidRPr="007941DB">
        <w:rPr>
          <w:rFonts w:ascii="Century Schoolbook" w:hAnsi="Century Schoolbook" w:cs="Times New Roman"/>
          <w:szCs w:val="24"/>
        </w:rPr>
        <w:t xml:space="preserve"> relevant section of the FBCA, which draws on concepts from the RLLCA</w:t>
      </w:r>
      <w:r w:rsidR="003F61FB">
        <w:rPr>
          <w:rFonts w:ascii="Century Schoolbook" w:hAnsi="Century Schoolbook" w:cs="Times New Roman"/>
          <w:szCs w:val="24"/>
        </w:rPr>
        <w:t>,</w:t>
      </w:r>
      <w:r>
        <w:rPr>
          <w:rStyle w:val="FootnoteReference"/>
          <w:rFonts w:ascii="Century Schoolbook" w:hAnsi="Century Schoolbook" w:cs="Times New Roman"/>
          <w:szCs w:val="24"/>
        </w:rPr>
        <w:footnoteReference w:id="2"/>
      </w:r>
      <w:r w:rsidRPr="007941DB">
        <w:rPr>
          <w:rFonts w:ascii="Century Schoolbook" w:hAnsi="Century Schoolbook" w:cs="Times New Roman"/>
          <w:szCs w:val="24"/>
        </w:rPr>
        <w:t xml:space="preserve"> </w:t>
      </w:r>
      <w:r w:rsidR="00987569">
        <w:rPr>
          <w:rFonts w:ascii="Century Schoolbook" w:hAnsi="Century Schoolbook" w:cs="Times New Roman"/>
          <w:szCs w:val="24"/>
        </w:rPr>
        <w:t xml:space="preserve">and </w:t>
      </w:r>
      <w:r w:rsidRPr="007941DB">
        <w:rPr>
          <w:rFonts w:ascii="Century Schoolbook" w:hAnsi="Century Schoolbook" w:cs="Times New Roman"/>
          <w:szCs w:val="24"/>
        </w:rPr>
        <w:t>was added through amendment in 2019</w:t>
      </w:r>
      <w:r w:rsidR="00C637B7">
        <w:rPr>
          <w:rFonts w:ascii="Century Schoolbook" w:hAnsi="Century Schoolbook" w:cs="Times New Roman"/>
          <w:szCs w:val="24"/>
        </w:rPr>
        <w:t xml:space="preserve"> (</w:t>
      </w:r>
      <w:r w:rsidR="00AD4F6A">
        <w:rPr>
          <w:rFonts w:ascii="Century Schoolbook" w:hAnsi="Century Schoolbook" w:cs="Times New Roman"/>
          <w:szCs w:val="24"/>
        </w:rPr>
        <w:t xml:space="preserve">with an </w:t>
      </w:r>
      <w:r w:rsidR="00C637B7">
        <w:rPr>
          <w:rFonts w:ascii="Century Schoolbook" w:hAnsi="Century Schoolbook" w:cs="Times New Roman"/>
          <w:szCs w:val="24"/>
        </w:rPr>
        <w:t>effective date of January 1, 2020)</w:t>
      </w:r>
      <w:r w:rsidRPr="007941DB">
        <w:rPr>
          <w:rFonts w:ascii="Century Schoolbook" w:hAnsi="Century Schoolbook" w:cs="Times New Roman"/>
          <w:szCs w:val="24"/>
        </w:rPr>
        <w:t>.</w:t>
      </w:r>
      <w:bookmarkEnd w:id="3"/>
      <w:bookmarkEnd w:id="4"/>
    </w:p>
    <w:p w14:paraId="0E1A3247" w14:textId="05BE6560" w:rsidR="00620069" w:rsidRPr="007B419A" w:rsidRDefault="00682AC0" w:rsidP="0032667F">
      <w:pPr>
        <w:ind w:firstLine="720"/>
        <w:rPr>
          <w:rFonts w:ascii="Century Schoolbook" w:hAnsi="Century Schoolbook" w:cs="Times New Roman"/>
          <w:szCs w:val="24"/>
        </w:rPr>
      </w:pPr>
      <w:bookmarkStart w:id="5" w:name="cite-8b729861-dbc0-4d93-91d9-73a74c60406"/>
      <w:r>
        <w:rPr>
          <w:rFonts w:ascii="Century Schoolbook" w:hAnsi="Century Schoolbook" w:cs="Times New Roman"/>
          <w:szCs w:val="24"/>
        </w:rPr>
        <w:t>All three</w:t>
      </w:r>
      <w:r w:rsidRPr="007941DB">
        <w:rPr>
          <w:rFonts w:ascii="Century Schoolbook" w:hAnsi="Century Schoolbook" w:cs="Times New Roman"/>
          <w:szCs w:val="24"/>
        </w:rPr>
        <w:t xml:space="preserve"> statutes contemplate one-prong test</w:t>
      </w:r>
      <w:r w:rsidR="009B1E48">
        <w:rPr>
          <w:rFonts w:ascii="Century Schoolbook" w:hAnsi="Century Schoolbook" w:cs="Times New Roman"/>
          <w:szCs w:val="24"/>
        </w:rPr>
        <w:t>s</w:t>
      </w:r>
      <w:r w:rsidRPr="007941DB">
        <w:rPr>
          <w:rFonts w:ascii="Century Schoolbook" w:hAnsi="Century Schoolbook" w:cs="Times New Roman"/>
          <w:szCs w:val="24"/>
        </w:rPr>
        <w:t xml:space="preserve"> for</w:t>
      </w:r>
      <w:r w:rsidR="009B1E48">
        <w:rPr>
          <w:rFonts w:ascii="Century Schoolbook" w:hAnsi="Century Schoolbook" w:cs="Times New Roman"/>
          <w:szCs w:val="24"/>
        </w:rPr>
        <w:t xml:space="preserve"> maintaining a</w:t>
      </w:r>
      <w:r w:rsidRPr="007941DB">
        <w:rPr>
          <w:rFonts w:ascii="Century Schoolbook" w:hAnsi="Century Schoolbook" w:cs="Times New Roman"/>
          <w:szCs w:val="24"/>
        </w:rPr>
        <w:t xml:space="preserve"> direct action</w:t>
      </w:r>
      <w:r w:rsidR="009B1E48">
        <w:rPr>
          <w:rFonts w:ascii="Century Schoolbook" w:hAnsi="Century Schoolbook" w:cs="Times New Roman"/>
          <w:szCs w:val="24"/>
        </w:rPr>
        <w:t>.</w:t>
      </w:r>
      <w:r w:rsidRPr="007941DB">
        <w:rPr>
          <w:rFonts w:ascii="Century Schoolbook" w:hAnsi="Century Schoolbook" w:cs="Times New Roman"/>
          <w:szCs w:val="24"/>
        </w:rPr>
        <w:t xml:space="preserve"> To properly maintain a direct action</w:t>
      </w:r>
      <w:r w:rsidR="00312D23">
        <w:rPr>
          <w:rFonts w:ascii="Century Schoolbook" w:hAnsi="Century Schoolbook" w:cs="Times New Roman"/>
          <w:szCs w:val="24"/>
        </w:rPr>
        <w:t xml:space="preserve"> that is not based on a violation of a separate statutory or contractual duty,</w:t>
      </w:r>
      <w:r w:rsidRPr="007941DB">
        <w:rPr>
          <w:rFonts w:ascii="Century Schoolbook" w:hAnsi="Century Schoolbook" w:cs="Times New Roman"/>
          <w:szCs w:val="24"/>
        </w:rPr>
        <w:t xml:space="preserve"> the plaintiff must plead and prove “an actual or threatened injury that is not solely the result of an injury suffered or threatened to be suffered by” the entity. § 605.0801(2)(a), Fla. Stat.; § 607.0750(2)(a), Fla. Stat.</w:t>
      </w:r>
      <w:r>
        <w:rPr>
          <w:rFonts w:ascii="Century Schoolbook" w:hAnsi="Century Schoolbook" w:cs="Times New Roman"/>
          <w:szCs w:val="24"/>
        </w:rPr>
        <w:t xml:space="preserve">; § 620.2001(2), Fla. Stat. </w:t>
      </w:r>
      <w:r w:rsidR="006B1313">
        <w:rPr>
          <w:rFonts w:ascii="Century Schoolbook" w:hAnsi="Century Schoolbook" w:cs="Times New Roman"/>
          <w:szCs w:val="24"/>
        </w:rPr>
        <w:t xml:space="preserve">Similarly, sections 605.0801(2)(b), 607.0750(2)(b), and 620.2001(2)(b), allow direct actions to proceed even if the injury “is in whole or in part the same” as the injury suffered by the entity. </w:t>
      </w:r>
      <w:r>
        <w:rPr>
          <w:rFonts w:ascii="Century Schoolbook" w:hAnsi="Century Schoolbook" w:cs="Times New Roman"/>
          <w:szCs w:val="24"/>
        </w:rPr>
        <w:t xml:space="preserve">The </w:t>
      </w:r>
      <w:r w:rsidRPr="007941DB">
        <w:rPr>
          <w:rFonts w:ascii="Century Schoolbook" w:hAnsi="Century Schoolbook" w:cs="Times New Roman"/>
          <w:szCs w:val="24"/>
        </w:rPr>
        <w:t>statute</w:t>
      </w:r>
      <w:r>
        <w:rPr>
          <w:rFonts w:ascii="Century Schoolbook" w:hAnsi="Century Schoolbook" w:cs="Times New Roman"/>
          <w:szCs w:val="24"/>
        </w:rPr>
        <w:t xml:space="preserve">s do not </w:t>
      </w:r>
      <w:r w:rsidRPr="007941DB">
        <w:rPr>
          <w:rFonts w:ascii="Century Schoolbook" w:hAnsi="Century Schoolbook" w:cs="Times New Roman"/>
          <w:szCs w:val="24"/>
        </w:rPr>
        <w:t>discuss “special injury,” nor do they require a plaintiff to show a “special injury” distinct from the injuries of other owners to maintain a direct action.</w:t>
      </w:r>
      <w:bookmarkEnd w:id="5"/>
      <w:r w:rsidRPr="007941DB">
        <w:rPr>
          <w:rFonts w:ascii="Century Schoolbook" w:hAnsi="Century Schoolbook" w:cs="Times New Roman"/>
          <w:szCs w:val="24"/>
        </w:rPr>
        <w:t xml:space="preserve"> </w:t>
      </w:r>
      <w:r w:rsidRPr="007941DB">
        <w:rPr>
          <w:rFonts w:ascii="Century Schoolbook" w:hAnsi="Century Schoolbook" w:cs="Times New Roman"/>
          <w:i/>
          <w:iCs/>
          <w:szCs w:val="24"/>
        </w:rPr>
        <w:t>Id</w:t>
      </w:r>
      <w:r w:rsidRPr="00620069">
        <w:rPr>
          <w:rFonts w:ascii="Century Schoolbook" w:hAnsi="Century Schoolbook" w:cs="Times New Roman"/>
          <w:i/>
          <w:iCs/>
          <w:szCs w:val="24"/>
        </w:rPr>
        <w:t>.</w:t>
      </w:r>
    </w:p>
    <w:p w14:paraId="0703B4DC" w14:textId="2CF56E8A" w:rsidR="000F67CD" w:rsidRPr="007941DB" w:rsidRDefault="00682AC0" w:rsidP="0032667F">
      <w:pPr>
        <w:ind w:firstLine="720"/>
        <w:rPr>
          <w:rFonts w:ascii="Century Schoolbook" w:hAnsi="Century Schoolbook" w:cs="Times New Roman"/>
          <w:szCs w:val="24"/>
        </w:rPr>
      </w:pPr>
      <w:r w:rsidRPr="007941DB">
        <w:rPr>
          <w:rFonts w:ascii="Century Schoolbook" w:hAnsi="Century Schoolbook" w:cs="Times New Roman"/>
          <w:szCs w:val="24"/>
        </w:rPr>
        <w:t xml:space="preserve">The legislative intent of the RLLCA was to be modeled </w:t>
      </w:r>
      <w:r w:rsidR="00AD267C" w:rsidRPr="007941DB">
        <w:rPr>
          <w:rFonts w:ascii="Century Schoolbook" w:hAnsi="Century Schoolbook" w:cs="Times New Roman"/>
          <w:szCs w:val="24"/>
        </w:rPr>
        <w:t>consistent with the Revised Uniform LLC Act, with the general understanding that Florida LLCs often operate as partnerships with liability shields to the members</w:t>
      </w:r>
      <w:r w:rsidR="00C40B4F">
        <w:rPr>
          <w:rFonts w:ascii="Century Schoolbook" w:hAnsi="Century Schoolbook" w:cs="Times New Roman"/>
          <w:szCs w:val="24"/>
        </w:rPr>
        <w:t>, hence the language in the FLPA</w:t>
      </w:r>
      <w:r w:rsidR="00AD267C" w:rsidRPr="007941DB">
        <w:rPr>
          <w:rFonts w:ascii="Century Schoolbook" w:hAnsi="Century Schoolbook" w:cs="Times New Roman"/>
          <w:szCs w:val="24"/>
        </w:rPr>
        <w:t>. With this understanding and intent in mind, the RLLCA framers did not include a special injury test in determining whether direct action</w:t>
      </w:r>
      <w:r w:rsidR="00BD570B">
        <w:rPr>
          <w:rFonts w:ascii="Century Schoolbook" w:hAnsi="Century Schoolbook" w:cs="Times New Roman"/>
          <w:szCs w:val="24"/>
        </w:rPr>
        <w:t>s can be maintained</w:t>
      </w:r>
      <w:r w:rsidR="00AD267C" w:rsidRPr="007941DB">
        <w:rPr>
          <w:rFonts w:ascii="Century Schoolbook" w:hAnsi="Century Schoolbook" w:cs="Times New Roman"/>
          <w:szCs w:val="24"/>
        </w:rPr>
        <w:t>. With respect to corporations,</w:t>
      </w:r>
      <w:r w:rsidR="001F15A7">
        <w:rPr>
          <w:rFonts w:ascii="Century Schoolbook" w:hAnsi="Century Schoolbook" w:cs="Times New Roman"/>
          <w:szCs w:val="24"/>
        </w:rPr>
        <w:t xml:space="preserve"> it was determined that the requirements for maintaining </w:t>
      </w:r>
      <w:r w:rsidR="00AD267C" w:rsidRPr="007941DB">
        <w:rPr>
          <w:rFonts w:ascii="Century Schoolbook" w:hAnsi="Century Schoolbook" w:cs="Times New Roman"/>
          <w:szCs w:val="24"/>
        </w:rPr>
        <w:t>direct action</w:t>
      </w:r>
      <w:r w:rsidR="001F15A7">
        <w:rPr>
          <w:rFonts w:ascii="Century Schoolbook" w:hAnsi="Century Schoolbook" w:cs="Times New Roman"/>
          <w:szCs w:val="24"/>
        </w:rPr>
        <w:t>s</w:t>
      </w:r>
      <w:r w:rsidR="00AD267C" w:rsidRPr="007941DB">
        <w:rPr>
          <w:rFonts w:ascii="Century Schoolbook" w:hAnsi="Century Schoolbook" w:cs="Times New Roman"/>
          <w:szCs w:val="24"/>
        </w:rPr>
        <w:t xml:space="preserve"> for Florida corporations should be consistent with and </w:t>
      </w:r>
      <w:r w:rsidR="00AD267C" w:rsidRPr="007941DB">
        <w:rPr>
          <w:rFonts w:ascii="Century Schoolbook" w:hAnsi="Century Schoolbook" w:cs="Times New Roman"/>
          <w:szCs w:val="24"/>
        </w:rPr>
        <w:lastRenderedPageBreak/>
        <w:t>follow the provisions related to</w:t>
      </w:r>
      <w:r w:rsidR="001F15A7">
        <w:rPr>
          <w:rFonts w:ascii="Century Schoolbook" w:hAnsi="Century Schoolbook" w:cs="Times New Roman"/>
          <w:szCs w:val="24"/>
        </w:rPr>
        <w:t xml:space="preserve"> maintaining</w:t>
      </w:r>
      <w:r w:rsidR="00AD267C" w:rsidRPr="007941DB">
        <w:rPr>
          <w:rFonts w:ascii="Century Schoolbook" w:hAnsi="Century Schoolbook" w:cs="Times New Roman"/>
          <w:szCs w:val="24"/>
        </w:rPr>
        <w:t xml:space="preserve"> direct actions </w:t>
      </w:r>
      <w:r w:rsidR="006609D9">
        <w:rPr>
          <w:rFonts w:ascii="Century Schoolbook" w:hAnsi="Century Schoolbook" w:cs="Times New Roman"/>
          <w:szCs w:val="24"/>
        </w:rPr>
        <w:t>with respect to</w:t>
      </w:r>
      <w:r w:rsidR="00AD267C" w:rsidRPr="007941DB">
        <w:rPr>
          <w:rFonts w:ascii="Century Schoolbook" w:hAnsi="Century Schoolbook" w:cs="Times New Roman"/>
          <w:szCs w:val="24"/>
        </w:rPr>
        <w:t xml:space="preserve"> Florida LLCs.</w:t>
      </w:r>
    </w:p>
    <w:p w14:paraId="343DFF84" w14:textId="77777777" w:rsidR="00A96954" w:rsidRPr="007941DB" w:rsidRDefault="00682AC0" w:rsidP="009B5854">
      <w:pPr>
        <w:jc w:val="center"/>
        <w:rPr>
          <w:rFonts w:ascii="Century Schoolbook" w:hAnsi="Century Schoolbook" w:cs="Times New Roman"/>
          <w:i/>
          <w:iCs/>
          <w:szCs w:val="24"/>
          <w:u w:val="single"/>
        </w:rPr>
      </w:pPr>
      <w:r w:rsidRPr="007941DB">
        <w:rPr>
          <w:rFonts w:ascii="Century Schoolbook" w:hAnsi="Century Schoolbook" w:cs="Times New Roman"/>
          <w:i/>
          <w:iCs/>
          <w:szCs w:val="24"/>
          <w:u w:val="single"/>
        </w:rPr>
        <w:t xml:space="preserve">The </w:t>
      </w:r>
      <w:proofErr w:type="spellStart"/>
      <w:r w:rsidRPr="007941DB">
        <w:rPr>
          <w:rFonts w:ascii="Century Schoolbook" w:hAnsi="Century Schoolbook" w:cs="Times New Roman"/>
          <w:i/>
          <w:iCs/>
          <w:szCs w:val="24"/>
          <w:u w:val="single"/>
        </w:rPr>
        <w:t>Dinuro</w:t>
      </w:r>
      <w:proofErr w:type="spellEnd"/>
      <w:r w:rsidRPr="007941DB">
        <w:rPr>
          <w:rFonts w:ascii="Century Schoolbook" w:hAnsi="Century Schoolbook" w:cs="Times New Roman"/>
          <w:i/>
          <w:iCs/>
          <w:szCs w:val="24"/>
          <w:u w:val="single"/>
        </w:rPr>
        <w:t xml:space="preserve"> Test</w:t>
      </w:r>
    </w:p>
    <w:p w14:paraId="174D388E" w14:textId="5F96F5DC" w:rsidR="00620069" w:rsidRPr="007941DB" w:rsidRDefault="00682AC0" w:rsidP="0032667F">
      <w:pPr>
        <w:ind w:firstLine="720"/>
        <w:rPr>
          <w:rFonts w:ascii="Century Schoolbook" w:hAnsi="Century Schoolbook" w:cs="Times New Roman"/>
          <w:szCs w:val="24"/>
        </w:rPr>
      </w:pPr>
      <w:bookmarkStart w:id="6" w:name="cite-9e01dfc1-0f8b-4c2d-9fa6-42cacea3590"/>
      <w:bookmarkStart w:id="7" w:name="cite-f31a8c5f-5cb2-4bc2-949f-62672c0a60c"/>
      <w:r w:rsidRPr="007941DB">
        <w:rPr>
          <w:rFonts w:ascii="Century Schoolbook" w:hAnsi="Century Schoolbook" w:cs="Times New Roman"/>
          <w:szCs w:val="24"/>
        </w:rPr>
        <w:t xml:space="preserve">In 2014, one year </w:t>
      </w:r>
      <w:r w:rsidR="00C637B7">
        <w:rPr>
          <w:rFonts w:ascii="Century Schoolbook" w:hAnsi="Century Schoolbook" w:cs="Times New Roman"/>
          <w:szCs w:val="24"/>
        </w:rPr>
        <w:t xml:space="preserve">after </w:t>
      </w:r>
      <w:r w:rsidRPr="007941DB">
        <w:rPr>
          <w:rFonts w:ascii="Century Schoolbook" w:hAnsi="Century Schoolbook" w:cs="Times New Roman"/>
          <w:szCs w:val="24"/>
        </w:rPr>
        <w:t>the RLLCA was enacted</w:t>
      </w:r>
      <w:r w:rsidR="00C637B7">
        <w:rPr>
          <w:rFonts w:ascii="Century Schoolbook" w:hAnsi="Century Schoolbook" w:cs="Times New Roman"/>
          <w:szCs w:val="24"/>
        </w:rPr>
        <w:t xml:space="preserve"> and </w:t>
      </w:r>
      <w:r w:rsidR="008408A5">
        <w:rPr>
          <w:rFonts w:ascii="Century Schoolbook" w:hAnsi="Century Schoolbook" w:cs="Times New Roman"/>
          <w:szCs w:val="24"/>
        </w:rPr>
        <w:t xml:space="preserve">one year </w:t>
      </w:r>
      <w:r w:rsidR="00C637B7">
        <w:rPr>
          <w:rFonts w:ascii="Century Schoolbook" w:hAnsi="Century Schoolbook" w:cs="Times New Roman"/>
          <w:szCs w:val="24"/>
        </w:rPr>
        <w:t xml:space="preserve">before it became </w:t>
      </w:r>
      <w:r w:rsidR="00536E64">
        <w:rPr>
          <w:rFonts w:ascii="Century Schoolbook" w:hAnsi="Century Schoolbook" w:cs="Times New Roman"/>
          <w:szCs w:val="24"/>
        </w:rPr>
        <w:t xml:space="preserve">fully </w:t>
      </w:r>
      <w:r w:rsidR="00C637B7">
        <w:rPr>
          <w:rFonts w:ascii="Century Schoolbook" w:hAnsi="Century Schoolbook" w:cs="Times New Roman"/>
          <w:szCs w:val="24"/>
        </w:rPr>
        <w:t>effective</w:t>
      </w:r>
      <w:r w:rsidRPr="007941DB">
        <w:rPr>
          <w:rFonts w:ascii="Century Schoolbook" w:hAnsi="Century Schoolbook" w:cs="Times New Roman"/>
          <w:szCs w:val="24"/>
        </w:rPr>
        <w:t xml:space="preserve">, the Third District Court of Appeal decided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i/>
          <w:szCs w:val="24"/>
        </w:rPr>
        <w:t xml:space="preserve"> Investments, LLC v. Camacho</w:t>
      </w:r>
      <w:r w:rsidRPr="007941DB">
        <w:rPr>
          <w:rFonts w:ascii="Century Schoolbook" w:hAnsi="Century Schoolbook" w:cs="Times New Roman"/>
          <w:szCs w:val="24"/>
        </w:rPr>
        <w:t xml:space="preserve">, 141 So. 3d 731 (Fla. 3d DCA 2014). </w:t>
      </w:r>
      <w:bookmarkEnd w:id="6"/>
      <w:proofErr w:type="spellStart"/>
      <w:r w:rsidR="00C637B7">
        <w:rPr>
          <w:rFonts w:ascii="Century Schoolbook" w:hAnsi="Century Schoolbook" w:cs="Times New Roman"/>
          <w:i/>
          <w:iCs/>
          <w:szCs w:val="24"/>
        </w:rPr>
        <w:t>Dinuro</w:t>
      </w:r>
      <w:proofErr w:type="spellEnd"/>
      <w:r w:rsidR="00C637B7">
        <w:rPr>
          <w:rFonts w:ascii="Century Schoolbook" w:hAnsi="Century Schoolbook" w:cs="Times New Roman"/>
          <w:i/>
          <w:iCs/>
          <w:szCs w:val="24"/>
        </w:rPr>
        <w:t xml:space="preserve">, </w:t>
      </w:r>
      <w:r w:rsidR="00C637B7">
        <w:rPr>
          <w:rFonts w:ascii="Century Schoolbook" w:hAnsi="Century Schoolbook" w:cs="Times New Roman"/>
          <w:szCs w:val="24"/>
        </w:rPr>
        <w:t xml:space="preserve">which was initiated with the trial court in 2011 based on events that occurred in 2010 and 2011, was decided under Florida’s earlier version of </w:t>
      </w:r>
      <w:r w:rsidR="00B54B36">
        <w:rPr>
          <w:rFonts w:ascii="Century Schoolbook" w:hAnsi="Century Schoolbook" w:cs="Times New Roman"/>
          <w:szCs w:val="24"/>
        </w:rPr>
        <w:t xml:space="preserve">its </w:t>
      </w:r>
      <w:r w:rsidR="00C637B7">
        <w:rPr>
          <w:rFonts w:ascii="Century Schoolbook" w:hAnsi="Century Schoolbook" w:cs="Times New Roman"/>
          <w:szCs w:val="24"/>
        </w:rPr>
        <w:t xml:space="preserve">limited liability company act, Chapter 608, Florida Statutes. </w:t>
      </w:r>
      <w:r w:rsidRPr="007941DB">
        <w:rPr>
          <w:rFonts w:ascii="Century Schoolbook" w:hAnsi="Century Schoolbook" w:cs="Times New Roman"/>
          <w:szCs w:val="24"/>
        </w:rPr>
        <w:t xml:space="preserve">In </w:t>
      </w:r>
      <w:proofErr w:type="spellStart"/>
      <w:r w:rsidR="00C637B7">
        <w:rPr>
          <w:rFonts w:ascii="Century Schoolbook" w:hAnsi="Century Schoolbook" w:cs="Times New Roman"/>
          <w:i/>
          <w:iCs/>
          <w:szCs w:val="24"/>
        </w:rPr>
        <w:t>Dinuro</w:t>
      </w:r>
      <w:proofErr w:type="spellEnd"/>
      <w:r w:rsidRPr="007941DB">
        <w:rPr>
          <w:rFonts w:ascii="Century Schoolbook" w:hAnsi="Century Schoolbook" w:cs="Times New Roman"/>
          <w:szCs w:val="24"/>
        </w:rPr>
        <w:t xml:space="preserve">, </w:t>
      </w:r>
      <w:bookmarkEnd w:id="7"/>
      <w:r w:rsidRPr="007941DB">
        <w:rPr>
          <w:rFonts w:ascii="Century Schoolbook" w:hAnsi="Century Schoolbook" w:cs="Times New Roman"/>
          <w:szCs w:val="24"/>
        </w:rPr>
        <w:t>the court</w:t>
      </w:r>
      <w:bookmarkStart w:id="8" w:name="cite-37598ff3-fd6b-4745-b2c0-61774764a11"/>
      <w:bookmarkStart w:id="9" w:name="cite-a8cd9909-775c-4338-92e1-7b7966f869d"/>
      <w:bookmarkStart w:id="10" w:name="cite-bfd26318-ee41-4a5a-9624-17571ede67e"/>
      <w:bookmarkStart w:id="11" w:name="cite-acd5cf48-96f7-4453-b5d3-c9315578698"/>
      <w:bookmarkStart w:id="12" w:name="cite-5bd74ebf-7e22-4178-8c30-8601f802c8a"/>
      <w:bookmarkStart w:id="13" w:name="cite-85ed93cb-d24d-43e7-b53e-e09d01d00b6"/>
      <w:bookmarkStart w:id="14" w:name="cite-8ddb3136-8fe9-4b75-9609-e8689520440"/>
      <w:r w:rsidRPr="007941DB">
        <w:rPr>
          <w:rFonts w:ascii="Century Schoolbook" w:hAnsi="Century Schoolbook" w:cs="Times New Roman"/>
          <w:szCs w:val="24"/>
        </w:rPr>
        <w:t xml:space="preserve"> </w:t>
      </w:r>
      <w:r w:rsidR="00F26B86">
        <w:rPr>
          <w:rFonts w:ascii="Century Schoolbook" w:hAnsi="Century Schoolbook" w:cs="Times New Roman"/>
          <w:szCs w:val="24"/>
        </w:rPr>
        <w:t xml:space="preserve">comprehensively </w:t>
      </w:r>
      <w:r w:rsidRPr="007941DB">
        <w:rPr>
          <w:rFonts w:ascii="Century Schoolbook" w:hAnsi="Century Schoolbook" w:cs="Times New Roman"/>
          <w:szCs w:val="24"/>
        </w:rPr>
        <w:t xml:space="preserve">synthesized prior Florida precedent into </w:t>
      </w:r>
      <w:r w:rsidR="006732DA">
        <w:rPr>
          <w:rFonts w:ascii="Century Schoolbook" w:hAnsi="Century Schoolbook" w:cs="Times New Roman"/>
          <w:szCs w:val="24"/>
        </w:rPr>
        <w:t xml:space="preserve">a two-prong test for maintaining direct actions. In addition, </w:t>
      </w:r>
      <w:r w:rsidR="006E764D">
        <w:rPr>
          <w:rFonts w:ascii="Century Schoolbook" w:hAnsi="Century Schoolbook" w:cs="Times New Roman"/>
          <w:szCs w:val="24"/>
        </w:rPr>
        <w:t xml:space="preserve">the </w:t>
      </w:r>
      <w:proofErr w:type="spellStart"/>
      <w:r w:rsidR="006732DA">
        <w:rPr>
          <w:rFonts w:ascii="Century Schoolbook" w:hAnsi="Century Schoolbook" w:cs="Times New Roman"/>
          <w:i/>
          <w:iCs/>
          <w:szCs w:val="24"/>
        </w:rPr>
        <w:t>Dinuro</w:t>
      </w:r>
      <w:proofErr w:type="spellEnd"/>
      <w:r w:rsidR="006732DA">
        <w:rPr>
          <w:rFonts w:ascii="Century Schoolbook" w:hAnsi="Century Schoolbook" w:cs="Times New Roman"/>
          <w:szCs w:val="24"/>
        </w:rPr>
        <w:t xml:space="preserve"> </w:t>
      </w:r>
      <w:r w:rsidR="00656D02">
        <w:rPr>
          <w:rFonts w:ascii="Century Schoolbook" w:hAnsi="Century Schoolbook" w:cs="Times New Roman"/>
          <w:szCs w:val="24"/>
        </w:rPr>
        <w:t xml:space="preserve">court </w:t>
      </w:r>
      <w:r w:rsidR="006732DA">
        <w:rPr>
          <w:rFonts w:ascii="Century Schoolbook" w:hAnsi="Century Schoolbook" w:cs="Times New Roman"/>
          <w:szCs w:val="24"/>
        </w:rPr>
        <w:t>provided a</w:t>
      </w:r>
      <w:r w:rsidR="006E764D">
        <w:rPr>
          <w:rFonts w:ascii="Century Schoolbook" w:hAnsi="Century Schoolbook" w:cs="Times New Roman"/>
          <w:szCs w:val="24"/>
        </w:rPr>
        <w:t>n</w:t>
      </w:r>
      <w:r w:rsidR="006732DA">
        <w:rPr>
          <w:rFonts w:ascii="Century Schoolbook" w:hAnsi="Century Schoolbook" w:cs="Times New Roman"/>
          <w:szCs w:val="24"/>
        </w:rPr>
        <w:t xml:space="preserve"> “exception” to the two-prong test if there </w:t>
      </w:r>
      <w:r w:rsidR="00F1575A">
        <w:rPr>
          <w:rFonts w:ascii="Century Schoolbook" w:hAnsi="Century Schoolbook" w:cs="Times New Roman"/>
          <w:szCs w:val="24"/>
        </w:rPr>
        <w:t>is</w:t>
      </w:r>
      <w:r w:rsidR="006732DA">
        <w:rPr>
          <w:rFonts w:ascii="Century Schoolbook" w:hAnsi="Century Schoolbook" w:cs="Times New Roman"/>
          <w:szCs w:val="24"/>
        </w:rPr>
        <w:t xml:space="preserve"> a “separate duty owed by the defendant(s) to the individual plaintiff under contractual or statutory mandates.” </w:t>
      </w:r>
      <w:r w:rsidRPr="007941DB">
        <w:rPr>
          <w:rFonts w:ascii="Century Schoolbook" w:hAnsi="Century Schoolbook" w:cs="Times New Roman"/>
          <w:szCs w:val="24"/>
        </w:rPr>
        <w:t>Under th</w:t>
      </w:r>
      <w:r w:rsidR="006732DA">
        <w:rPr>
          <w:rFonts w:ascii="Century Schoolbook" w:hAnsi="Century Schoolbook" w:cs="Times New Roman"/>
          <w:szCs w:val="24"/>
        </w:rPr>
        <w:t>e two-prong</w:t>
      </w:r>
      <w:r w:rsidRPr="007941DB">
        <w:rPr>
          <w:rFonts w:ascii="Century Schoolbook" w:hAnsi="Century Schoolbook" w:cs="Times New Roman"/>
          <w:szCs w:val="24"/>
        </w:rPr>
        <w:t xml:space="preserve"> test, a plaintiff may bring</w:t>
      </w:r>
      <w:r w:rsidR="00407C0A">
        <w:rPr>
          <w:rFonts w:ascii="Century Schoolbook" w:hAnsi="Century Schoolbook" w:cs="Times New Roman"/>
          <w:szCs w:val="24"/>
        </w:rPr>
        <w:t xml:space="preserve"> and maintain</w:t>
      </w:r>
      <w:r w:rsidRPr="007941DB">
        <w:rPr>
          <w:rFonts w:ascii="Century Schoolbook" w:hAnsi="Century Schoolbook" w:cs="Times New Roman"/>
          <w:szCs w:val="24"/>
        </w:rPr>
        <w:t xml:space="preserve"> a direct action only if: (1) there is a “direct harm” to the plaintiff such that the alleged injury does not flow from an initial harm to the entity; and (2) there is a “special injury” to the plaintiff that is separate and distinct from injuries sustained by other owners. </w:t>
      </w:r>
      <w:bookmarkEnd w:id="8"/>
      <w:bookmarkEnd w:id="9"/>
      <w:r w:rsidRPr="007941DB">
        <w:rPr>
          <w:rFonts w:ascii="Century Schoolbook" w:hAnsi="Century Schoolbook" w:cs="Times New Roman"/>
          <w:szCs w:val="24"/>
        </w:rPr>
        <w:t xml:space="preserve">The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court explained that the “direct harm” prong requires a comparison between the plaintiff</w:t>
      </w:r>
      <w:r w:rsidR="00F16F90">
        <w:rPr>
          <w:rFonts w:ascii="Century Schoolbook" w:hAnsi="Century Schoolbook" w:cs="Times New Roman"/>
          <w:szCs w:val="24"/>
        </w:rPr>
        <w:t>’</w:t>
      </w:r>
      <w:r w:rsidRPr="007941DB">
        <w:rPr>
          <w:rFonts w:ascii="Century Schoolbook" w:hAnsi="Century Schoolbook" w:cs="Times New Roman"/>
          <w:szCs w:val="24"/>
        </w:rPr>
        <w:t>s injury and the entity</w:t>
      </w:r>
      <w:r w:rsidR="00F16F90">
        <w:rPr>
          <w:rFonts w:ascii="Century Schoolbook" w:hAnsi="Century Schoolbook" w:cs="Times New Roman"/>
          <w:szCs w:val="24"/>
        </w:rPr>
        <w:t>’</w:t>
      </w:r>
      <w:r w:rsidRPr="007941DB">
        <w:rPr>
          <w:rFonts w:ascii="Century Schoolbook" w:hAnsi="Century Schoolbook" w:cs="Times New Roman"/>
          <w:szCs w:val="24"/>
        </w:rPr>
        <w:t xml:space="preserve">s injury. In other words, if the damages are related to damages </w:t>
      </w:r>
      <w:r w:rsidR="001C501D">
        <w:rPr>
          <w:rFonts w:ascii="Century Schoolbook" w:hAnsi="Century Schoolbook" w:cs="Times New Roman"/>
          <w:szCs w:val="24"/>
        </w:rPr>
        <w:t xml:space="preserve">first </w:t>
      </w:r>
      <w:r w:rsidRPr="007941DB">
        <w:rPr>
          <w:rFonts w:ascii="Century Schoolbook" w:hAnsi="Century Schoolbook" w:cs="Times New Roman"/>
          <w:szCs w:val="24"/>
        </w:rPr>
        <w:t xml:space="preserve">sustained by the entity, the claim is derivative. </w:t>
      </w:r>
      <w:bookmarkEnd w:id="10"/>
      <w:bookmarkEnd w:id="11"/>
      <w:r w:rsidRPr="007941DB">
        <w:rPr>
          <w:rFonts w:ascii="Century Schoolbook" w:hAnsi="Century Schoolbook" w:cs="Times New Roman"/>
          <w:szCs w:val="24"/>
        </w:rPr>
        <w:t xml:space="preserve">The “special injury” prong </w:t>
      </w:r>
      <w:r w:rsidR="00895782">
        <w:rPr>
          <w:rFonts w:ascii="Century Schoolbook" w:hAnsi="Century Schoolbook" w:cs="Times New Roman"/>
          <w:szCs w:val="24"/>
        </w:rPr>
        <w:t xml:space="preserve">also </w:t>
      </w:r>
      <w:r w:rsidRPr="007941DB">
        <w:rPr>
          <w:rFonts w:ascii="Century Schoolbook" w:hAnsi="Century Schoolbook" w:cs="Times New Roman"/>
          <w:szCs w:val="24"/>
        </w:rPr>
        <w:t xml:space="preserve">requires a comparison between the plaintiff’s injury and </w:t>
      </w:r>
      <w:r w:rsidR="001C501D">
        <w:rPr>
          <w:rFonts w:ascii="Century Schoolbook" w:hAnsi="Century Schoolbook" w:cs="Times New Roman"/>
          <w:szCs w:val="24"/>
        </w:rPr>
        <w:t>the injuries, if any,</w:t>
      </w:r>
      <w:r w:rsidRPr="007941DB">
        <w:rPr>
          <w:rFonts w:ascii="Century Schoolbook" w:hAnsi="Century Schoolbook" w:cs="Times New Roman"/>
          <w:szCs w:val="24"/>
        </w:rPr>
        <w:t xml:space="preserve"> of other owners. </w:t>
      </w:r>
      <w:r w:rsidR="002C09CB">
        <w:rPr>
          <w:rFonts w:ascii="Century Schoolbook" w:hAnsi="Century Schoolbook" w:cs="Times New Roman"/>
          <w:szCs w:val="24"/>
        </w:rPr>
        <w:t xml:space="preserve">Under the </w:t>
      </w:r>
      <w:proofErr w:type="spellStart"/>
      <w:r w:rsidR="002C09CB">
        <w:rPr>
          <w:rFonts w:ascii="Century Schoolbook" w:hAnsi="Century Schoolbook" w:cs="Times New Roman"/>
          <w:i/>
          <w:iCs/>
          <w:szCs w:val="24"/>
        </w:rPr>
        <w:t>Dinuro</w:t>
      </w:r>
      <w:proofErr w:type="spellEnd"/>
      <w:r w:rsidR="002C09CB">
        <w:rPr>
          <w:rFonts w:ascii="Century Schoolbook" w:hAnsi="Century Schoolbook" w:cs="Times New Roman"/>
          <w:i/>
          <w:iCs/>
          <w:szCs w:val="24"/>
        </w:rPr>
        <w:t xml:space="preserve"> </w:t>
      </w:r>
      <w:r w:rsidR="002C09CB">
        <w:rPr>
          <w:rFonts w:ascii="Century Schoolbook" w:hAnsi="Century Schoolbook" w:cs="Times New Roman"/>
          <w:szCs w:val="24"/>
        </w:rPr>
        <w:t>analysis, t</w:t>
      </w:r>
      <w:r w:rsidRPr="007941DB">
        <w:rPr>
          <w:rFonts w:ascii="Century Schoolbook" w:hAnsi="Century Schoolbook" w:cs="Times New Roman"/>
          <w:szCs w:val="24"/>
        </w:rPr>
        <w:t>he plaintiff must show a loss “substantially different” from those sustained by fellow members or shareholders.</w:t>
      </w:r>
      <w:bookmarkEnd w:id="12"/>
      <w:bookmarkEnd w:id="13"/>
      <w:bookmarkEnd w:id="14"/>
    </w:p>
    <w:p w14:paraId="54B74123" w14:textId="77777777" w:rsidR="00A96954" w:rsidRPr="007941DB" w:rsidRDefault="00682AC0" w:rsidP="009B5854">
      <w:pPr>
        <w:jc w:val="center"/>
        <w:rPr>
          <w:rFonts w:ascii="Century Schoolbook" w:hAnsi="Century Schoolbook" w:cs="Times New Roman"/>
          <w:i/>
          <w:iCs/>
          <w:szCs w:val="24"/>
          <w:u w:val="single"/>
        </w:rPr>
      </w:pPr>
      <w:r w:rsidRPr="007941DB">
        <w:rPr>
          <w:rFonts w:ascii="Century Schoolbook" w:hAnsi="Century Schoolbook" w:cs="Times New Roman"/>
          <w:i/>
          <w:iCs/>
          <w:szCs w:val="24"/>
          <w:u w:val="single"/>
        </w:rPr>
        <w:t>Post-</w:t>
      </w:r>
      <w:proofErr w:type="spellStart"/>
      <w:r w:rsidRPr="007941DB">
        <w:rPr>
          <w:rFonts w:ascii="Century Schoolbook" w:hAnsi="Century Schoolbook" w:cs="Times New Roman"/>
          <w:i/>
          <w:iCs/>
          <w:szCs w:val="24"/>
          <w:u w:val="single"/>
        </w:rPr>
        <w:t>Dinuro</w:t>
      </w:r>
      <w:proofErr w:type="spellEnd"/>
      <w:r w:rsidRPr="007941DB">
        <w:rPr>
          <w:rFonts w:ascii="Century Schoolbook" w:hAnsi="Century Schoolbook" w:cs="Times New Roman"/>
          <w:i/>
          <w:iCs/>
          <w:szCs w:val="24"/>
          <w:u w:val="single"/>
        </w:rPr>
        <w:t xml:space="preserve"> Case Law</w:t>
      </w:r>
    </w:p>
    <w:p w14:paraId="05768BFA" w14:textId="270BA6B4" w:rsidR="00620069" w:rsidRPr="007941DB" w:rsidRDefault="00682AC0" w:rsidP="00476769">
      <w:pPr>
        <w:ind w:firstLine="720"/>
        <w:rPr>
          <w:rFonts w:ascii="Century Schoolbook" w:hAnsi="Century Schoolbook" w:cs="Times New Roman"/>
          <w:szCs w:val="24"/>
        </w:rPr>
      </w:pPr>
      <w:bookmarkStart w:id="15" w:name="cite-a2aba424-2279-46c2-9952-8a0ac0675c2"/>
      <w:bookmarkStart w:id="16" w:name="cite-0939a40a-7256-4f17-85f8-5c8774e6dbb"/>
      <w:bookmarkStart w:id="17" w:name="cite-c4ab1ad9-05e6-4fb1-becc-4d35252a3f2"/>
      <w:bookmarkStart w:id="18" w:name="cite-24793a92-dc32-4e60-9c75-365f7e8521b"/>
      <w:r w:rsidRPr="007941DB">
        <w:rPr>
          <w:rFonts w:ascii="Century Schoolbook" w:hAnsi="Century Schoolbook" w:cs="Times New Roman"/>
          <w:szCs w:val="24"/>
        </w:rPr>
        <w:t xml:space="preserve">Florida courts </w:t>
      </w:r>
      <w:r w:rsidR="00D7076C">
        <w:rPr>
          <w:rFonts w:ascii="Century Schoolbook" w:hAnsi="Century Schoolbook" w:cs="Times New Roman"/>
          <w:szCs w:val="24"/>
        </w:rPr>
        <w:t xml:space="preserve">have </w:t>
      </w:r>
      <w:r w:rsidRPr="007941DB">
        <w:rPr>
          <w:rFonts w:ascii="Century Schoolbook" w:hAnsi="Century Schoolbook" w:cs="Times New Roman"/>
          <w:szCs w:val="24"/>
        </w:rPr>
        <w:t xml:space="preserve">continued </w:t>
      </w:r>
      <w:r w:rsidR="00D7076C">
        <w:rPr>
          <w:rFonts w:ascii="Century Schoolbook" w:hAnsi="Century Schoolbook" w:cs="Times New Roman"/>
          <w:szCs w:val="24"/>
        </w:rPr>
        <w:t xml:space="preserve">to </w:t>
      </w:r>
      <w:r w:rsidRPr="007941DB">
        <w:rPr>
          <w:rFonts w:ascii="Century Schoolbook" w:hAnsi="Century Schoolbook" w:cs="Times New Roman"/>
          <w:szCs w:val="24"/>
        </w:rPr>
        <w:t xml:space="preserve">apply the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two-prong test even after the enactment of the one-prong tests in Sections 605.0801(2)(a) and 607.0750(2)(a). For example, in 2015, the Fourth District Court of Appeal adopted the </w:t>
      </w:r>
      <w:proofErr w:type="spellStart"/>
      <w:r w:rsidRPr="007941DB">
        <w:rPr>
          <w:rFonts w:ascii="Century Schoolbook" w:hAnsi="Century Schoolbook" w:cs="Times New Roman"/>
          <w:i/>
          <w:iCs/>
          <w:szCs w:val="24"/>
        </w:rPr>
        <w:t>Dinuro</w:t>
      </w:r>
      <w:proofErr w:type="spellEnd"/>
      <w:r w:rsidRPr="007941DB">
        <w:rPr>
          <w:rFonts w:ascii="Century Schoolbook" w:hAnsi="Century Schoolbook" w:cs="Times New Roman"/>
          <w:szCs w:val="24"/>
        </w:rPr>
        <w:t xml:space="preserve"> two-prong test in </w:t>
      </w:r>
      <w:r w:rsidRPr="007941DB">
        <w:rPr>
          <w:rFonts w:ascii="Century Schoolbook" w:hAnsi="Century Schoolbook" w:cs="Times New Roman"/>
          <w:i/>
          <w:szCs w:val="24"/>
        </w:rPr>
        <w:t>Strazzulla v. Riverside Banking Co.</w:t>
      </w:r>
      <w:r w:rsidRPr="007941DB">
        <w:rPr>
          <w:rFonts w:ascii="Century Schoolbook" w:hAnsi="Century Schoolbook" w:cs="Times New Roman"/>
          <w:szCs w:val="24"/>
        </w:rPr>
        <w:t>, 175 So. 3d 879 (Fla. 4th DCA 2015).</w:t>
      </w:r>
      <w:r w:rsidR="00D77C9B">
        <w:rPr>
          <w:rStyle w:val="FootnoteReference"/>
          <w:rFonts w:ascii="Century Schoolbook" w:hAnsi="Century Schoolbook" w:cs="Times New Roman"/>
          <w:szCs w:val="24"/>
        </w:rPr>
        <w:footnoteReference w:id="3"/>
      </w:r>
      <w:r w:rsidRPr="007941DB">
        <w:rPr>
          <w:rFonts w:ascii="Century Schoolbook" w:hAnsi="Century Schoolbook" w:cs="Times New Roman"/>
          <w:szCs w:val="24"/>
        </w:rPr>
        <w:t xml:space="preserve"> The Third District Court of Appeal confirmed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three years later in</w:t>
      </w:r>
      <w:bookmarkEnd w:id="15"/>
      <w:bookmarkEnd w:id="16"/>
      <w:r w:rsidRPr="007941DB">
        <w:rPr>
          <w:rFonts w:ascii="Century Schoolbook" w:hAnsi="Century Schoolbook" w:cs="Times New Roman"/>
          <w:szCs w:val="24"/>
        </w:rPr>
        <w:t xml:space="preserve"> </w:t>
      </w:r>
      <w:r w:rsidRPr="007941DB">
        <w:rPr>
          <w:rFonts w:ascii="Century Schoolbook" w:hAnsi="Century Schoolbook" w:cs="Times New Roman"/>
          <w:i/>
          <w:szCs w:val="24"/>
        </w:rPr>
        <w:t>Ferk Family, LP v. Frank</w:t>
      </w:r>
      <w:r w:rsidRPr="007941DB">
        <w:rPr>
          <w:rFonts w:ascii="Century Schoolbook" w:hAnsi="Century Schoolbook" w:cs="Times New Roman"/>
          <w:szCs w:val="24"/>
        </w:rPr>
        <w:t xml:space="preserve">, 240 So. 3d 826 (Fla. 3d DCA 2018), and again in 2020 with </w:t>
      </w:r>
      <w:bookmarkEnd w:id="17"/>
      <w:r w:rsidRPr="007941DB">
        <w:rPr>
          <w:rFonts w:ascii="Century Schoolbook" w:hAnsi="Century Schoolbook" w:cs="Times New Roman"/>
          <w:i/>
          <w:szCs w:val="24"/>
        </w:rPr>
        <w:t>Arbitrage Fund v. Petty</w:t>
      </w:r>
      <w:r w:rsidRPr="007941DB">
        <w:rPr>
          <w:rFonts w:ascii="Century Schoolbook" w:hAnsi="Century Schoolbook" w:cs="Times New Roman"/>
          <w:szCs w:val="24"/>
        </w:rPr>
        <w:t>, 307 So. 3d 119 (Fla. 3d DCA 2020).</w:t>
      </w:r>
      <w:r>
        <w:rPr>
          <w:rFonts w:ascii="Century Schoolbook" w:hAnsi="Century Schoolbook" w:cs="Times New Roman"/>
          <w:szCs w:val="24"/>
        </w:rPr>
        <w:t xml:space="preserve"> I</w:t>
      </w:r>
      <w:r w:rsidRPr="007941DB">
        <w:rPr>
          <w:rFonts w:ascii="Century Schoolbook" w:hAnsi="Century Schoolbook" w:cs="Times New Roman"/>
          <w:szCs w:val="24"/>
        </w:rPr>
        <w:t xml:space="preserve">n </w:t>
      </w:r>
      <w:r w:rsidRPr="007941DB">
        <w:rPr>
          <w:rFonts w:ascii="Century Schoolbook" w:hAnsi="Century Schoolbook" w:cs="Times New Roman"/>
          <w:i/>
          <w:iCs/>
          <w:szCs w:val="24"/>
        </w:rPr>
        <w:t>Petty</w:t>
      </w:r>
      <w:r>
        <w:rPr>
          <w:rFonts w:ascii="Century Schoolbook" w:hAnsi="Century Schoolbook" w:cs="Times New Roman"/>
          <w:szCs w:val="24"/>
        </w:rPr>
        <w:t>,</w:t>
      </w:r>
      <w:r w:rsidRPr="00620069">
        <w:rPr>
          <w:rFonts w:ascii="Century Schoolbook" w:hAnsi="Century Schoolbook" w:cs="Times New Roman"/>
          <w:szCs w:val="24"/>
        </w:rPr>
        <w:t xml:space="preserve"> </w:t>
      </w:r>
      <w:r w:rsidRPr="007941DB">
        <w:rPr>
          <w:rFonts w:ascii="Century Schoolbook" w:hAnsi="Century Schoolbook" w:cs="Times New Roman"/>
          <w:szCs w:val="24"/>
        </w:rPr>
        <w:t xml:space="preserve">the parties </w:t>
      </w:r>
      <w:r w:rsidR="00F63F7C">
        <w:rPr>
          <w:rFonts w:ascii="Century Schoolbook" w:hAnsi="Century Schoolbook" w:cs="Times New Roman"/>
          <w:szCs w:val="24"/>
        </w:rPr>
        <w:t xml:space="preserve">incorrectly advised the court </w:t>
      </w:r>
      <w:r w:rsidRPr="007941DB">
        <w:rPr>
          <w:rFonts w:ascii="Century Schoolbook" w:hAnsi="Century Schoolbook" w:cs="Times New Roman"/>
          <w:szCs w:val="24"/>
        </w:rPr>
        <w:t xml:space="preserve">that § 607.0750 </w:t>
      </w:r>
      <w:r w:rsidR="00F63F7C">
        <w:rPr>
          <w:rFonts w:ascii="Century Schoolbook" w:hAnsi="Century Schoolbook" w:cs="Times New Roman"/>
          <w:szCs w:val="24"/>
        </w:rPr>
        <w:t xml:space="preserve">had </w:t>
      </w:r>
      <w:r w:rsidRPr="007941DB">
        <w:rPr>
          <w:rFonts w:ascii="Century Schoolbook" w:hAnsi="Century Schoolbook" w:cs="Times New Roman"/>
          <w:szCs w:val="24"/>
        </w:rPr>
        <w:t xml:space="preserve">codified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but</w:t>
      </w:r>
      <w:r w:rsidR="0023626F">
        <w:rPr>
          <w:rFonts w:ascii="Century Schoolbook" w:hAnsi="Century Schoolbook" w:cs="Times New Roman"/>
          <w:szCs w:val="24"/>
        </w:rPr>
        <w:t xml:space="preserve"> those parties</w:t>
      </w:r>
      <w:r w:rsidRPr="007941DB">
        <w:rPr>
          <w:rFonts w:ascii="Century Schoolbook" w:hAnsi="Century Schoolbook" w:cs="Times New Roman"/>
          <w:szCs w:val="24"/>
        </w:rPr>
        <w:t xml:space="preserve"> disagreed on how to interpret it. The court</w:t>
      </w:r>
      <w:r>
        <w:rPr>
          <w:rFonts w:ascii="Century Schoolbook" w:hAnsi="Century Schoolbook" w:cs="Times New Roman"/>
          <w:szCs w:val="24"/>
        </w:rPr>
        <w:t xml:space="preserve"> in </w:t>
      </w:r>
      <w:r>
        <w:rPr>
          <w:rFonts w:ascii="Century Schoolbook" w:hAnsi="Century Schoolbook" w:cs="Times New Roman"/>
          <w:i/>
          <w:iCs/>
          <w:szCs w:val="24"/>
        </w:rPr>
        <w:t>Petty</w:t>
      </w:r>
      <w:r w:rsidRPr="007941DB">
        <w:rPr>
          <w:rFonts w:ascii="Century Schoolbook" w:hAnsi="Century Schoolbook" w:cs="Times New Roman"/>
          <w:szCs w:val="24"/>
        </w:rPr>
        <w:t xml:space="preserve"> then relied</w:t>
      </w:r>
      <w:r>
        <w:rPr>
          <w:rFonts w:ascii="Century Schoolbook" w:hAnsi="Century Schoolbook" w:cs="Times New Roman"/>
          <w:szCs w:val="24"/>
        </w:rPr>
        <w:t xml:space="preserve"> on</w:t>
      </w:r>
      <w:r w:rsidRPr="007941DB">
        <w:rPr>
          <w:rFonts w:ascii="Century Schoolbook" w:hAnsi="Century Schoolbook" w:cs="Times New Roman"/>
          <w:szCs w:val="24"/>
        </w:rPr>
        <w:t xml:space="preserve"> </w:t>
      </w:r>
      <w:proofErr w:type="spellStart"/>
      <w:r w:rsidRPr="007941DB">
        <w:rPr>
          <w:rFonts w:ascii="Century Schoolbook" w:hAnsi="Century Schoolbook" w:cs="Times New Roman"/>
          <w:i/>
          <w:iCs/>
          <w:szCs w:val="24"/>
        </w:rPr>
        <w:t>Dinuro</w:t>
      </w:r>
      <w:proofErr w:type="spellEnd"/>
      <w:r w:rsidRPr="00620069">
        <w:rPr>
          <w:rFonts w:ascii="Century Schoolbook" w:hAnsi="Century Schoolbook" w:cs="Times New Roman"/>
          <w:szCs w:val="24"/>
        </w:rPr>
        <w:t xml:space="preserve"> </w:t>
      </w:r>
      <w:r w:rsidRPr="007941DB">
        <w:rPr>
          <w:rFonts w:ascii="Century Schoolbook" w:hAnsi="Century Schoolbook" w:cs="Times New Roman"/>
          <w:szCs w:val="24"/>
        </w:rPr>
        <w:t>and scholarly literature rather than</w:t>
      </w:r>
      <w:r w:rsidR="0023626F">
        <w:rPr>
          <w:rFonts w:ascii="Century Schoolbook" w:hAnsi="Century Schoolbook" w:cs="Times New Roman"/>
          <w:szCs w:val="24"/>
        </w:rPr>
        <w:t xml:space="preserve"> following</w:t>
      </w:r>
      <w:r w:rsidRPr="007941DB">
        <w:rPr>
          <w:rFonts w:ascii="Century Schoolbook" w:hAnsi="Century Schoolbook" w:cs="Times New Roman"/>
          <w:szCs w:val="24"/>
        </w:rPr>
        <w:t xml:space="preserve"> the statutory text. </w:t>
      </w:r>
      <w:bookmarkEnd w:id="18"/>
      <w:r w:rsidRPr="007941DB">
        <w:rPr>
          <w:rFonts w:ascii="Century Schoolbook" w:hAnsi="Century Schoolbook" w:cs="Times New Roman"/>
          <w:szCs w:val="24"/>
        </w:rPr>
        <w:t xml:space="preserve">The Third District most recently affirmed </w:t>
      </w:r>
      <w:proofErr w:type="spellStart"/>
      <w:r w:rsidRPr="007941DB">
        <w:rPr>
          <w:rFonts w:ascii="Century Schoolbook" w:hAnsi="Century Schoolbook" w:cs="Times New Roman"/>
          <w:i/>
          <w:iCs/>
          <w:szCs w:val="24"/>
        </w:rPr>
        <w:t>Dinuro</w:t>
      </w:r>
      <w:proofErr w:type="spellEnd"/>
      <w:r w:rsidRPr="00620069">
        <w:rPr>
          <w:rFonts w:ascii="Century Schoolbook" w:hAnsi="Century Schoolbook" w:cs="Times New Roman"/>
          <w:szCs w:val="24"/>
        </w:rPr>
        <w:t xml:space="preserve"> </w:t>
      </w:r>
      <w:r w:rsidRPr="007941DB">
        <w:rPr>
          <w:rFonts w:ascii="Century Schoolbook" w:hAnsi="Century Schoolbook" w:cs="Times New Roman"/>
          <w:szCs w:val="24"/>
        </w:rPr>
        <w:t xml:space="preserve">in 2025. </w:t>
      </w:r>
      <w:r w:rsidRPr="007941DB">
        <w:rPr>
          <w:rFonts w:ascii="Century Schoolbook" w:hAnsi="Century Schoolbook" w:cs="Times New Roman"/>
          <w:i/>
          <w:szCs w:val="24"/>
        </w:rPr>
        <w:t>Benes v. De La Aguilera</w:t>
      </w:r>
      <w:r w:rsidRPr="007941DB">
        <w:rPr>
          <w:rFonts w:ascii="Century Schoolbook" w:hAnsi="Century Schoolbook" w:cs="Times New Roman"/>
          <w:szCs w:val="24"/>
        </w:rPr>
        <w:t>, aff</w:t>
      </w:r>
      <w:r w:rsidR="00F16F90">
        <w:rPr>
          <w:rFonts w:ascii="Century Schoolbook" w:hAnsi="Century Schoolbook" w:cs="Times New Roman"/>
          <w:szCs w:val="24"/>
        </w:rPr>
        <w:t>’</w:t>
      </w:r>
      <w:r w:rsidRPr="007941DB">
        <w:rPr>
          <w:rFonts w:ascii="Century Schoolbook" w:hAnsi="Century Schoolbook" w:cs="Times New Roman"/>
          <w:szCs w:val="24"/>
        </w:rPr>
        <w:t>d, 2025 WL 322291 (Fla. 3d DCA 2025)</w:t>
      </w:r>
      <w:bookmarkStart w:id="19" w:name="cite-f0109aba-07d8-4ca3-bbad-443c2e16f95"/>
      <w:bookmarkStart w:id="20" w:name="cite-fca6d91f-465b-4973-8c93-1931546510e"/>
      <w:bookmarkStart w:id="21" w:name="cite-693e3e73-37b0-44af-89e2-3a4d5154e31"/>
      <w:r w:rsidRPr="007941DB">
        <w:rPr>
          <w:rFonts w:ascii="Century Schoolbook" w:hAnsi="Century Schoolbook" w:cs="Times New Roman"/>
          <w:szCs w:val="24"/>
        </w:rPr>
        <w:t xml:space="preserve">. Federal courts have also applied the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test rather than the</w:t>
      </w:r>
      <w:r w:rsidR="001149DC">
        <w:rPr>
          <w:rFonts w:ascii="Century Schoolbook" w:hAnsi="Century Schoolbook" w:cs="Times New Roman"/>
          <w:szCs w:val="24"/>
        </w:rPr>
        <w:t xml:space="preserve"> language in the</w:t>
      </w:r>
      <w:r w:rsidRPr="007941DB">
        <w:rPr>
          <w:rFonts w:ascii="Century Schoolbook" w:hAnsi="Century Schoolbook" w:cs="Times New Roman"/>
          <w:szCs w:val="24"/>
        </w:rPr>
        <w:t xml:space="preserve"> statutory test. </w:t>
      </w:r>
      <w:r w:rsidRPr="007941DB">
        <w:rPr>
          <w:rFonts w:ascii="Century Schoolbook" w:hAnsi="Century Schoolbook" w:cs="Times New Roman"/>
          <w:i/>
          <w:iCs/>
          <w:szCs w:val="24"/>
        </w:rPr>
        <w:t xml:space="preserve">See </w:t>
      </w:r>
      <w:r w:rsidRPr="007941DB">
        <w:rPr>
          <w:rFonts w:ascii="Century Schoolbook" w:hAnsi="Century Schoolbook" w:cs="Times New Roman"/>
          <w:i/>
          <w:szCs w:val="24"/>
        </w:rPr>
        <w:t>Feng v. Walsh</w:t>
      </w:r>
      <w:r w:rsidRPr="007941DB">
        <w:rPr>
          <w:rFonts w:ascii="Century Schoolbook" w:hAnsi="Century Schoolbook" w:cs="Times New Roman"/>
          <w:szCs w:val="24"/>
        </w:rPr>
        <w:t xml:space="preserve">, 2020 WL 5822420 (S.D. Fla. Sept. 14, 2020); </w:t>
      </w:r>
      <w:r w:rsidRPr="007941DB">
        <w:rPr>
          <w:rFonts w:ascii="Century Schoolbook" w:hAnsi="Century Schoolbook" w:cs="Times New Roman"/>
          <w:i/>
          <w:szCs w:val="24"/>
        </w:rPr>
        <w:t>Snyder v. Formerly B 3 Group, Inc.</w:t>
      </w:r>
      <w:r w:rsidRPr="007941DB">
        <w:rPr>
          <w:rFonts w:ascii="Century Schoolbook" w:hAnsi="Century Schoolbook" w:cs="Times New Roman"/>
          <w:szCs w:val="24"/>
        </w:rPr>
        <w:t>, 2024 WL 2724435 (M.D. Fla. May 28, 2024).</w:t>
      </w:r>
      <w:bookmarkEnd w:id="19"/>
      <w:bookmarkEnd w:id="20"/>
      <w:bookmarkEnd w:id="21"/>
    </w:p>
    <w:p w14:paraId="336EB165" w14:textId="3476CB69" w:rsidR="00620069" w:rsidRDefault="00682AC0">
      <w:pPr>
        <w:ind w:firstLine="720"/>
        <w:rPr>
          <w:rFonts w:ascii="Century Schoolbook" w:hAnsi="Century Schoolbook" w:cs="Times New Roman"/>
          <w:szCs w:val="24"/>
        </w:rPr>
      </w:pPr>
      <w:r>
        <w:rPr>
          <w:rFonts w:ascii="Century Schoolbook" w:hAnsi="Century Schoolbook" w:cs="Times New Roman"/>
          <w:szCs w:val="24"/>
        </w:rPr>
        <w:lastRenderedPageBreak/>
        <w:t xml:space="preserve">The </w:t>
      </w:r>
      <w:r>
        <w:rPr>
          <w:rFonts w:ascii="Century Schoolbook" w:hAnsi="Century Schoolbook" w:cs="Times New Roman"/>
          <w:i/>
          <w:iCs/>
          <w:szCs w:val="24"/>
        </w:rPr>
        <w:t>Petty</w:t>
      </w:r>
      <w:r w:rsidRPr="00620069">
        <w:rPr>
          <w:rFonts w:ascii="Century Schoolbook" w:hAnsi="Century Schoolbook" w:cs="Times New Roman"/>
          <w:szCs w:val="24"/>
        </w:rPr>
        <w:t xml:space="preserve"> </w:t>
      </w:r>
      <w:r>
        <w:rPr>
          <w:rFonts w:ascii="Century Schoolbook" w:hAnsi="Century Schoolbook" w:cs="Times New Roman"/>
          <w:szCs w:val="24"/>
        </w:rPr>
        <w:t xml:space="preserve">decision warrants particular attention because, in addition to applying the </w:t>
      </w:r>
      <w:proofErr w:type="spellStart"/>
      <w:r>
        <w:rPr>
          <w:rFonts w:ascii="Century Schoolbook" w:hAnsi="Century Schoolbook" w:cs="Times New Roman"/>
          <w:i/>
          <w:iCs/>
          <w:szCs w:val="24"/>
        </w:rPr>
        <w:t>Dinuro</w:t>
      </w:r>
      <w:proofErr w:type="spellEnd"/>
      <w:r>
        <w:rPr>
          <w:rFonts w:ascii="Century Schoolbook" w:hAnsi="Century Schoolbook" w:cs="Times New Roman"/>
          <w:szCs w:val="24"/>
        </w:rPr>
        <w:t xml:space="preserve"> framework, it extended </w:t>
      </w:r>
      <w:proofErr w:type="spellStart"/>
      <w:r>
        <w:rPr>
          <w:rFonts w:ascii="Century Schoolbook" w:hAnsi="Century Schoolbook" w:cs="Times New Roman"/>
          <w:i/>
          <w:iCs/>
          <w:szCs w:val="24"/>
        </w:rPr>
        <w:t>Dinuro</w:t>
      </w:r>
      <w:proofErr w:type="spellEnd"/>
      <w:r w:rsidRPr="00620069">
        <w:rPr>
          <w:rFonts w:ascii="Century Schoolbook" w:hAnsi="Century Schoolbook" w:cs="Times New Roman"/>
          <w:szCs w:val="24"/>
        </w:rPr>
        <w:t xml:space="preserve"> </w:t>
      </w:r>
      <w:r>
        <w:rPr>
          <w:rFonts w:ascii="Century Schoolbook" w:hAnsi="Century Schoolbook" w:cs="Times New Roman"/>
          <w:szCs w:val="24"/>
        </w:rPr>
        <w:t xml:space="preserve">to equity freeze-out claims, which has created additional uncertainty. The </w:t>
      </w:r>
      <w:r>
        <w:rPr>
          <w:rFonts w:ascii="Century Schoolbook" w:hAnsi="Century Schoolbook" w:cs="Times New Roman"/>
          <w:i/>
          <w:iCs/>
          <w:szCs w:val="24"/>
        </w:rPr>
        <w:t>Petty</w:t>
      </w:r>
      <w:r w:rsidRPr="00620069">
        <w:rPr>
          <w:rFonts w:ascii="Century Schoolbook" w:hAnsi="Century Schoolbook" w:cs="Times New Roman"/>
          <w:szCs w:val="24"/>
        </w:rPr>
        <w:t xml:space="preserve"> </w:t>
      </w:r>
      <w:r>
        <w:rPr>
          <w:rFonts w:ascii="Century Schoolbook" w:hAnsi="Century Schoolbook" w:cs="Times New Roman"/>
          <w:szCs w:val="24"/>
        </w:rPr>
        <w:t xml:space="preserve">court, applying the </w:t>
      </w:r>
      <w:proofErr w:type="spellStart"/>
      <w:r>
        <w:rPr>
          <w:rFonts w:ascii="Century Schoolbook" w:hAnsi="Century Schoolbook" w:cs="Times New Roman"/>
          <w:i/>
          <w:iCs/>
          <w:szCs w:val="24"/>
        </w:rPr>
        <w:t>Dinuro</w:t>
      </w:r>
      <w:proofErr w:type="spellEnd"/>
      <w:r>
        <w:rPr>
          <w:rFonts w:ascii="Century Schoolbook" w:hAnsi="Century Schoolbook" w:cs="Times New Roman"/>
          <w:szCs w:val="24"/>
        </w:rPr>
        <w:t xml:space="preserve"> framework, concluded that a forced cash-out and alleged inadequate merger consideration constituted a derivative harm because those injuries purportedly flowed from the undervaluation of the entity as a whole. While the court conceptualized the merger as functionally equivalent to an asset sale, an important distinction exists between an “asset sale” and a “merger.” In a true asset sale, inadequate consideration would in fact diminish the value of the corporation, thus indirectly reducing the value of shareholders’ equity and creating a derivative harm. However, a merger does not involve a “sale” but rather a transfer, and a shareholder does not “sell” shares in a merger. Rather, because shares are converted into the right to receive merger consideration, a freeze-out eliminates the shareholder’s individual ownership interest, voting rights, and economic stake in the enterprise, making the harm</w:t>
      </w:r>
      <w:r w:rsidR="005E3760">
        <w:rPr>
          <w:rFonts w:ascii="Century Schoolbook" w:hAnsi="Century Schoolbook" w:cs="Times New Roman"/>
          <w:szCs w:val="24"/>
        </w:rPr>
        <w:t xml:space="preserve"> more akin to a</w:t>
      </w:r>
      <w:r>
        <w:rPr>
          <w:rFonts w:ascii="Century Schoolbook" w:hAnsi="Century Schoolbook" w:cs="Times New Roman"/>
          <w:szCs w:val="24"/>
        </w:rPr>
        <w:t xml:space="preserve"> direct</w:t>
      </w:r>
      <w:r w:rsidR="005E3760">
        <w:rPr>
          <w:rFonts w:ascii="Century Schoolbook" w:hAnsi="Century Schoolbook" w:cs="Times New Roman"/>
          <w:szCs w:val="24"/>
        </w:rPr>
        <w:t xml:space="preserve"> harm</w:t>
      </w:r>
      <w:r>
        <w:rPr>
          <w:rFonts w:ascii="Century Schoolbook" w:hAnsi="Century Schoolbook" w:cs="Times New Roman"/>
          <w:szCs w:val="24"/>
        </w:rPr>
        <w:t xml:space="preserve">. </w:t>
      </w:r>
      <w:r>
        <w:rPr>
          <w:rFonts w:ascii="Century Schoolbook" w:hAnsi="Century Schoolbook" w:cs="Times New Roman"/>
          <w:i/>
          <w:iCs/>
          <w:szCs w:val="24"/>
        </w:rPr>
        <w:t>Petty</w:t>
      </w:r>
      <w:r>
        <w:rPr>
          <w:rFonts w:ascii="Century Schoolbook" w:hAnsi="Century Schoolbook" w:cs="Times New Roman"/>
          <w:szCs w:val="24"/>
        </w:rPr>
        <w:t xml:space="preserve"> thus creates further confusion.</w:t>
      </w:r>
    </w:p>
    <w:p w14:paraId="29D276D1" w14:textId="77777777" w:rsidR="009C2DB7" w:rsidRPr="007941DB" w:rsidRDefault="00682AC0" w:rsidP="009B5854">
      <w:pPr>
        <w:jc w:val="center"/>
        <w:rPr>
          <w:rFonts w:ascii="Century Schoolbook" w:hAnsi="Century Schoolbook" w:cs="Times New Roman"/>
          <w:i/>
          <w:iCs/>
          <w:szCs w:val="24"/>
          <w:u w:val="single"/>
        </w:rPr>
      </w:pPr>
      <w:r w:rsidRPr="007941DB">
        <w:rPr>
          <w:rFonts w:ascii="Century Schoolbook" w:hAnsi="Century Schoolbook" w:cs="Times New Roman"/>
          <w:i/>
          <w:iCs/>
          <w:szCs w:val="24"/>
          <w:u w:val="single"/>
        </w:rPr>
        <w:t>Separation of Direct and Derivative Claims</w:t>
      </w:r>
    </w:p>
    <w:p w14:paraId="4552DDAF" w14:textId="5FC463DA" w:rsidR="00620069" w:rsidRPr="007941DB" w:rsidRDefault="00682AC0" w:rsidP="007E7D1F">
      <w:pPr>
        <w:ind w:firstLine="720"/>
        <w:rPr>
          <w:rFonts w:ascii="Century Schoolbook" w:hAnsi="Century Schoolbook" w:cs="Times New Roman"/>
          <w:i/>
          <w:iCs/>
          <w:szCs w:val="24"/>
        </w:rPr>
      </w:pPr>
      <w:r w:rsidRPr="007941DB">
        <w:rPr>
          <w:rFonts w:ascii="Century Schoolbook" w:hAnsi="Century Schoolbook" w:cs="Times New Roman"/>
          <w:szCs w:val="24"/>
        </w:rPr>
        <w:t>The RLLCA</w:t>
      </w:r>
      <w:r>
        <w:rPr>
          <w:rFonts w:ascii="Century Schoolbook" w:hAnsi="Century Schoolbook" w:cs="Times New Roman"/>
          <w:szCs w:val="24"/>
        </w:rPr>
        <w:t xml:space="preserve">, </w:t>
      </w:r>
      <w:r w:rsidRPr="007941DB">
        <w:rPr>
          <w:rFonts w:ascii="Century Schoolbook" w:hAnsi="Century Schoolbook" w:cs="Times New Roman"/>
          <w:szCs w:val="24"/>
        </w:rPr>
        <w:t>FBCA</w:t>
      </w:r>
      <w:r>
        <w:rPr>
          <w:rFonts w:ascii="Century Schoolbook" w:hAnsi="Century Schoolbook" w:cs="Times New Roman"/>
          <w:szCs w:val="24"/>
        </w:rPr>
        <w:t xml:space="preserve">, and FLPA </w:t>
      </w:r>
      <w:r w:rsidRPr="007941DB">
        <w:rPr>
          <w:rFonts w:ascii="Century Schoolbook" w:hAnsi="Century Schoolbook" w:cs="Times New Roman"/>
          <w:szCs w:val="24"/>
        </w:rPr>
        <w:t xml:space="preserve">do not expressly contemplate asserting direct and derivative claims in a single </w:t>
      </w:r>
      <w:r w:rsidR="00622E90">
        <w:rPr>
          <w:rFonts w:ascii="Century Schoolbook" w:hAnsi="Century Schoolbook" w:cs="Times New Roman"/>
          <w:szCs w:val="24"/>
        </w:rPr>
        <w:t>proceeding</w:t>
      </w:r>
      <w:r w:rsidRPr="007941DB">
        <w:rPr>
          <w:rFonts w:ascii="Century Schoolbook" w:hAnsi="Century Schoolbook" w:cs="Times New Roman"/>
          <w:szCs w:val="24"/>
        </w:rPr>
        <w:t xml:space="preserve">. However, appellate courts applying </w:t>
      </w:r>
      <w:proofErr w:type="spellStart"/>
      <w:r w:rsidRPr="007941DB">
        <w:rPr>
          <w:rFonts w:ascii="Century Schoolbook" w:hAnsi="Century Schoolbook" w:cs="Times New Roman"/>
          <w:i/>
          <w:iCs/>
          <w:szCs w:val="24"/>
        </w:rPr>
        <w:t>Dinuro</w:t>
      </w:r>
      <w:proofErr w:type="spellEnd"/>
      <w:r w:rsidRPr="00620069">
        <w:rPr>
          <w:rFonts w:ascii="Century Schoolbook" w:hAnsi="Century Schoolbook" w:cs="Times New Roman"/>
          <w:szCs w:val="24"/>
        </w:rPr>
        <w:t xml:space="preserve"> </w:t>
      </w:r>
      <w:r w:rsidRPr="007941DB">
        <w:rPr>
          <w:rFonts w:ascii="Century Schoolbook" w:hAnsi="Century Schoolbook" w:cs="Times New Roman"/>
          <w:szCs w:val="24"/>
        </w:rPr>
        <w:t>have ruled that plaintiffs</w:t>
      </w:r>
      <w:r w:rsidR="002947BB">
        <w:rPr>
          <w:rFonts w:ascii="Century Schoolbook" w:hAnsi="Century Schoolbook" w:cs="Times New Roman"/>
          <w:szCs w:val="24"/>
        </w:rPr>
        <w:t xml:space="preserve"> who are equity owners</w:t>
      </w:r>
      <w:r w:rsidRPr="007941DB">
        <w:rPr>
          <w:rFonts w:ascii="Century Schoolbook" w:hAnsi="Century Schoolbook" w:cs="Times New Roman"/>
          <w:szCs w:val="24"/>
        </w:rPr>
        <w:t xml:space="preserve"> cannot combine direct and derivative claims in a single action. </w:t>
      </w:r>
      <w:r w:rsidRPr="007941DB">
        <w:rPr>
          <w:rFonts w:ascii="Century Schoolbook" w:hAnsi="Century Schoolbook" w:cs="Times New Roman"/>
          <w:i/>
          <w:iCs/>
          <w:szCs w:val="24"/>
        </w:rPr>
        <w:t>DiSorbo</w:t>
      </w:r>
      <w:r w:rsidRPr="007941DB">
        <w:rPr>
          <w:rFonts w:ascii="Century Schoolbook" w:hAnsi="Century Schoolbook" w:cs="Times New Roman"/>
          <w:szCs w:val="24"/>
        </w:rPr>
        <w:t xml:space="preserve">, 354 So. 3d at 544. The rationale is that the plaintiff would be asserting rights in </w:t>
      </w:r>
      <w:r>
        <w:rPr>
          <w:rFonts w:ascii="Century Schoolbook" w:hAnsi="Century Schoolbook" w:cs="Times New Roman"/>
          <w:szCs w:val="24"/>
        </w:rPr>
        <w:t>a different capacity (individual versus on behalf of the entity)</w:t>
      </w:r>
      <w:r w:rsidRPr="007941DB">
        <w:rPr>
          <w:rFonts w:ascii="Century Schoolbook" w:hAnsi="Century Schoolbook" w:cs="Times New Roman"/>
          <w:szCs w:val="24"/>
        </w:rPr>
        <w:t>,</w:t>
      </w:r>
      <w:r>
        <w:rPr>
          <w:rFonts w:ascii="Century Schoolbook" w:hAnsi="Century Schoolbook" w:cs="Times New Roman"/>
          <w:szCs w:val="24"/>
        </w:rPr>
        <w:t xml:space="preserve"> and</w:t>
      </w:r>
      <w:r w:rsidRPr="007941DB">
        <w:rPr>
          <w:rFonts w:ascii="Century Schoolbook" w:hAnsi="Century Schoolbook" w:cs="Times New Roman"/>
          <w:szCs w:val="24"/>
        </w:rPr>
        <w:t xml:space="preserve"> thus the actions cannot be joined absent express consent of the parties or by filing separate suits that are subsequently joined through consolidation.</w:t>
      </w:r>
      <w:r w:rsidRPr="00620069">
        <w:rPr>
          <w:rFonts w:ascii="Century Schoolbook" w:hAnsi="Century Schoolbook" w:cs="Times New Roman"/>
          <w:szCs w:val="24"/>
        </w:rPr>
        <w:t xml:space="preserve"> </w:t>
      </w:r>
      <w:r w:rsidRPr="007941DB">
        <w:rPr>
          <w:rFonts w:ascii="Century Schoolbook" w:hAnsi="Century Schoolbook" w:cs="Times New Roman"/>
          <w:i/>
          <w:iCs/>
          <w:szCs w:val="24"/>
        </w:rPr>
        <w:t>Id.</w:t>
      </w:r>
    </w:p>
    <w:p w14:paraId="35CFBE0F" w14:textId="5A6CB3AC" w:rsidR="00620069" w:rsidRPr="007941DB" w:rsidRDefault="00682AC0" w:rsidP="00104EC0">
      <w:pPr>
        <w:ind w:firstLine="720"/>
        <w:rPr>
          <w:rFonts w:ascii="Century Schoolbook" w:hAnsi="Century Schoolbook" w:cs="Times New Roman"/>
          <w:szCs w:val="24"/>
        </w:rPr>
      </w:pPr>
      <w:r w:rsidRPr="007941DB">
        <w:rPr>
          <w:rFonts w:ascii="Century Schoolbook" w:hAnsi="Century Schoolbook" w:cs="Times New Roman"/>
          <w:szCs w:val="24"/>
        </w:rPr>
        <w:t>Despite its ruling</w:t>
      </w:r>
      <w:r>
        <w:rPr>
          <w:rFonts w:ascii="Century Schoolbook" w:hAnsi="Century Schoolbook" w:cs="Times New Roman"/>
          <w:szCs w:val="24"/>
        </w:rPr>
        <w:t xml:space="preserve"> and citing Florida Rule</w:t>
      </w:r>
      <w:r w:rsidR="00FC6855">
        <w:rPr>
          <w:rFonts w:ascii="Century Schoolbook" w:hAnsi="Century Schoolbook" w:cs="Times New Roman"/>
          <w:szCs w:val="24"/>
        </w:rPr>
        <w:t xml:space="preserve"> of Civil Procedure</w:t>
      </w:r>
      <w:r>
        <w:rPr>
          <w:rFonts w:ascii="Century Schoolbook" w:hAnsi="Century Schoolbook" w:cs="Times New Roman"/>
          <w:szCs w:val="24"/>
        </w:rPr>
        <w:t xml:space="preserve"> 1.110(g) for the proposition that direct and derivative actions should not be filed together, the </w:t>
      </w:r>
      <w:r>
        <w:rPr>
          <w:rFonts w:ascii="Century Schoolbook" w:hAnsi="Century Schoolbook" w:cs="Times New Roman"/>
          <w:i/>
          <w:iCs/>
          <w:szCs w:val="24"/>
        </w:rPr>
        <w:t>DiSorbo</w:t>
      </w:r>
      <w:r w:rsidRPr="007941DB">
        <w:rPr>
          <w:rFonts w:ascii="Century Schoolbook" w:hAnsi="Century Schoolbook" w:cs="Times New Roman"/>
          <w:szCs w:val="24"/>
        </w:rPr>
        <w:t xml:space="preserve"> </w:t>
      </w:r>
      <w:r>
        <w:rPr>
          <w:rFonts w:ascii="Century Schoolbook" w:hAnsi="Century Schoolbook" w:cs="Times New Roman"/>
          <w:szCs w:val="24"/>
        </w:rPr>
        <w:t xml:space="preserve">court </w:t>
      </w:r>
      <w:r w:rsidRPr="007941DB">
        <w:rPr>
          <w:rFonts w:ascii="Century Schoolbook" w:hAnsi="Century Schoolbook" w:cs="Times New Roman"/>
          <w:szCs w:val="24"/>
        </w:rPr>
        <w:t>acknowledges exceptions to the separation. The first exception occurs when parties consent to joining the actions or waive the separation. The second exception would be consolidation of separately filed actions</w:t>
      </w:r>
      <w:r>
        <w:rPr>
          <w:rFonts w:ascii="Century Schoolbook" w:hAnsi="Century Schoolbook" w:cs="Times New Roman"/>
          <w:szCs w:val="24"/>
        </w:rPr>
        <w:t xml:space="preserve"> pursuant to Florida Rule of Civil Procedure 1.270</w:t>
      </w:r>
      <w:r w:rsidRPr="007941DB">
        <w:rPr>
          <w:rFonts w:ascii="Century Schoolbook" w:hAnsi="Century Schoolbook" w:cs="Times New Roman"/>
          <w:szCs w:val="24"/>
        </w:rPr>
        <w:t>: if a plaintiff filed separate suits</w:t>
      </w:r>
      <w:r w:rsidR="00FC6855">
        <w:rPr>
          <w:rFonts w:ascii="Century Schoolbook" w:hAnsi="Century Schoolbook" w:cs="Times New Roman"/>
          <w:szCs w:val="24"/>
        </w:rPr>
        <w:t xml:space="preserve"> that involve a common question of law or fact,</w:t>
      </w:r>
      <w:r w:rsidRPr="007941DB">
        <w:rPr>
          <w:rFonts w:ascii="Century Schoolbook" w:hAnsi="Century Schoolbook" w:cs="Times New Roman"/>
          <w:szCs w:val="24"/>
        </w:rPr>
        <w:t xml:space="preserve"> the plaintiff could simply move to consolidate the actions.</w:t>
      </w:r>
    </w:p>
    <w:p w14:paraId="3B1EA357" w14:textId="1735C1ED" w:rsidR="00620069" w:rsidRDefault="00682AC0" w:rsidP="00AA5A6E">
      <w:pPr>
        <w:ind w:firstLine="720"/>
        <w:rPr>
          <w:rFonts w:ascii="Century Schoolbook" w:hAnsi="Century Schoolbook" w:cs="Times New Roman"/>
          <w:szCs w:val="24"/>
        </w:rPr>
      </w:pPr>
      <w:r>
        <w:rPr>
          <w:rFonts w:ascii="Century Schoolbook" w:hAnsi="Century Schoolbook" w:cs="Times New Roman"/>
          <w:szCs w:val="24"/>
        </w:rPr>
        <w:t xml:space="preserve">Beyond the exceptions recognized in </w:t>
      </w:r>
      <w:r>
        <w:rPr>
          <w:rFonts w:ascii="Century Schoolbook" w:hAnsi="Century Schoolbook" w:cs="Times New Roman"/>
          <w:i/>
          <w:iCs/>
          <w:szCs w:val="24"/>
        </w:rPr>
        <w:t>DiSorbo</w:t>
      </w:r>
      <w:r>
        <w:rPr>
          <w:rFonts w:ascii="Century Schoolbook" w:hAnsi="Century Schoolbook" w:cs="Times New Roman"/>
          <w:szCs w:val="24"/>
        </w:rPr>
        <w:t xml:space="preserve">, existing Florida law and plain text interpretations of the Rules of Civil Procedure provide support for </w:t>
      </w:r>
      <w:r w:rsidR="001C71BD">
        <w:rPr>
          <w:rFonts w:ascii="Century Schoolbook" w:hAnsi="Century Schoolbook" w:cs="Times New Roman"/>
          <w:szCs w:val="24"/>
        </w:rPr>
        <w:t xml:space="preserve">permitting </w:t>
      </w:r>
      <w:r>
        <w:rPr>
          <w:rFonts w:ascii="Century Schoolbook" w:hAnsi="Century Schoolbook" w:cs="Times New Roman"/>
          <w:szCs w:val="24"/>
        </w:rPr>
        <w:t>direct and derivative claims in a single proceeding, especially if a statute expressly provides for the joinder.</w:t>
      </w:r>
    </w:p>
    <w:p w14:paraId="3AD38181" w14:textId="7F09CF9F" w:rsidR="00620069" w:rsidRDefault="00682AC0" w:rsidP="00AA5A6E">
      <w:pPr>
        <w:ind w:firstLine="720"/>
        <w:rPr>
          <w:rFonts w:ascii="Century Schoolbook" w:hAnsi="Century Schoolbook" w:cs="Times New Roman"/>
          <w:szCs w:val="24"/>
        </w:rPr>
      </w:pPr>
      <w:r>
        <w:rPr>
          <w:rFonts w:ascii="Century Schoolbook" w:hAnsi="Century Schoolbook" w:cs="Times New Roman"/>
          <w:szCs w:val="24"/>
        </w:rPr>
        <w:t xml:space="preserve">The Supreme Court of Florida has upheld statutory joinder provisions that are consistent with existing court rules. </w:t>
      </w:r>
      <w:r>
        <w:rPr>
          <w:rFonts w:ascii="Century Schoolbook" w:hAnsi="Century Schoolbook" w:cs="Times New Roman"/>
          <w:i/>
          <w:iCs/>
          <w:szCs w:val="24"/>
        </w:rPr>
        <w:t>Agency for Health Care Administration v. Associated Industries of Florida, Inc.</w:t>
      </w:r>
      <w:r>
        <w:rPr>
          <w:rFonts w:ascii="Century Schoolbook" w:hAnsi="Century Schoolbook" w:cs="Times New Roman"/>
          <w:szCs w:val="24"/>
        </w:rPr>
        <w:t>, 678 So. 2d 1239 (Fla. 1996). The Florida Supreme Court, citing Rule 1.110(g), noted that “[j]</w:t>
      </w:r>
      <w:proofErr w:type="spellStart"/>
      <w:r>
        <w:rPr>
          <w:rFonts w:ascii="Century Schoolbook" w:hAnsi="Century Schoolbook" w:cs="Times New Roman"/>
          <w:szCs w:val="24"/>
        </w:rPr>
        <w:t>udicial</w:t>
      </w:r>
      <w:proofErr w:type="spellEnd"/>
      <w:r>
        <w:rPr>
          <w:rFonts w:ascii="Century Schoolbook" w:hAnsi="Century Schoolbook" w:cs="Times New Roman"/>
          <w:szCs w:val="24"/>
        </w:rPr>
        <w:t xml:space="preserve"> efficiency is promoted when similar legal issues can be ruled upon in one proceeding.” </w:t>
      </w:r>
      <w:r>
        <w:rPr>
          <w:rFonts w:ascii="Century Schoolbook" w:hAnsi="Century Schoolbook" w:cs="Times New Roman"/>
          <w:i/>
          <w:iCs/>
          <w:szCs w:val="24"/>
        </w:rPr>
        <w:t>Id</w:t>
      </w:r>
      <w:r w:rsidRPr="00620069">
        <w:rPr>
          <w:rFonts w:ascii="Century Schoolbook" w:hAnsi="Century Schoolbook" w:cs="Times New Roman"/>
          <w:i/>
          <w:iCs/>
          <w:szCs w:val="24"/>
        </w:rPr>
        <w:t>.</w:t>
      </w:r>
      <w:r>
        <w:rPr>
          <w:rFonts w:ascii="Century Schoolbook" w:hAnsi="Century Schoolbook" w:cs="Times New Roman"/>
          <w:szCs w:val="24"/>
        </w:rPr>
        <w:t xml:space="preserve"> at 1255. The Court further noted that, because the Act created an independent cause of action, the </w:t>
      </w:r>
      <w:r>
        <w:rPr>
          <w:rFonts w:ascii="Century Schoolbook" w:hAnsi="Century Schoolbook" w:cs="Times New Roman"/>
          <w:szCs w:val="24"/>
        </w:rPr>
        <w:lastRenderedPageBreak/>
        <w:t xml:space="preserve">challenged provision “simply allows the State to aggregate its own claims arising from this new cause of action.” </w:t>
      </w:r>
      <w:r>
        <w:rPr>
          <w:rFonts w:ascii="Century Schoolbook" w:hAnsi="Century Schoolbook" w:cs="Times New Roman"/>
          <w:i/>
          <w:iCs/>
          <w:szCs w:val="24"/>
        </w:rPr>
        <w:t>Id</w:t>
      </w:r>
      <w:r w:rsidRPr="00620069">
        <w:rPr>
          <w:rFonts w:ascii="Century Schoolbook" w:hAnsi="Century Schoolbook" w:cs="Times New Roman"/>
          <w:i/>
          <w:iCs/>
          <w:szCs w:val="24"/>
        </w:rPr>
        <w:t>.</w:t>
      </w:r>
    </w:p>
    <w:p w14:paraId="3B9AA802" w14:textId="708066CC" w:rsidR="00AA5A6E" w:rsidRDefault="00682AC0" w:rsidP="00AA5A6E">
      <w:pPr>
        <w:ind w:firstLine="720"/>
        <w:rPr>
          <w:rFonts w:ascii="Century Schoolbook" w:hAnsi="Century Schoolbook" w:cs="Times New Roman"/>
          <w:szCs w:val="24"/>
        </w:rPr>
      </w:pPr>
      <w:r>
        <w:rPr>
          <w:rFonts w:ascii="Century Schoolbook" w:hAnsi="Century Schoolbook" w:cs="Times New Roman"/>
          <w:szCs w:val="24"/>
        </w:rPr>
        <w:t xml:space="preserve">The Supreme Court of Florida has also recognized that when the Legislature creates substantive rights, it may include related procedural provisions without infringing on the Court’s rulemaking authority under Article V, Section 2 of the Florida Constitution. In </w:t>
      </w:r>
      <w:r>
        <w:rPr>
          <w:rFonts w:ascii="Century Schoolbook" w:hAnsi="Century Schoolbook" w:cs="Times New Roman"/>
          <w:i/>
          <w:iCs/>
          <w:szCs w:val="24"/>
        </w:rPr>
        <w:t>Caple v. Tuttle’s Design-Build, Inc.</w:t>
      </w:r>
      <w:r>
        <w:rPr>
          <w:rFonts w:ascii="Century Schoolbook" w:hAnsi="Century Schoolbook" w:cs="Times New Roman"/>
          <w:szCs w:val="24"/>
        </w:rPr>
        <w:t xml:space="preserve">, 753 So. 2d 49 (Fla. 2000), the Court held that a foreclosure statute creating new substantive rights did not unconstitutionally encroach on the Court’s rulemaking authority because “the statute creates substantive rights and any procedural provisions are directly related to the definition of those rights.” </w:t>
      </w:r>
      <w:r>
        <w:rPr>
          <w:rFonts w:ascii="Century Schoolbook" w:hAnsi="Century Schoolbook" w:cs="Times New Roman"/>
          <w:i/>
          <w:iCs/>
          <w:szCs w:val="24"/>
        </w:rPr>
        <w:t>Id</w:t>
      </w:r>
      <w:r>
        <w:rPr>
          <w:rFonts w:ascii="Century Schoolbook" w:hAnsi="Century Schoolbook" w:cs="Times New Roman"/>
          <w:szCs w:val="24"/>
        </w:rPr>
        <w:t xml:space="preserve">. at 54. The Court emphasized that it has “consistently rejected constitutional challenges where the procedural provisions were intertwined with substantive rights.” </w:t>
      </w:r>
      <w:r>
        <w:rPr>
          <w:rFonts w:ascii="Century Schoolbook" w:hAnsi="Century Schoolbook" w:cs="Times New Roman"/>
          <w:i/>
          <w:iCs/>
          <w:szCs w:val="24"/>
        </w:rPr>
        <w:t>Id</w:t>
      </w:r>
      <w:r>
        <w:rPr>
          <w:rFonts w:ascii="Century Schoolbook" w:hAnsi="Century Schoolbook" w:cs="Times New Roman"/>
          <w:szCs w:val="24"/>
        </w:rPr>
        <w:t xml:space="preserve">. (citing </w:t>
      </w:r>
      <w:r>
        <w:rPr>
          <w:rFonts w:ascii="Century Schoolbook" w:hAnsi="Century Schoolbook" w:cs="Times New Roman"/>
          <w:i/>
          <w:iCs/>
          <w:szCs w:val="24"/>
        </w:rPr>
        <w:t xml:space="preserve">Smith v. </w:t>
      </w:r>
      <w:proofErr w:type="spellStart"/>
      <w:r>
        <w:rPr>
          <w:rFonts w:ascii="Century Schoolbook" w:hAnsi="Century Schoolbook" w:cs="Times New Roman"/>
          <w:i/>
          <w:iCs/>
          <w:szCs w:val="24"/>
        </w:rPr>
        <w:t>Dep’t</w:t>
      </w:r>
      <w:proofErr w:type="spellEnd"/>
      <w:r>
        <w:rPr>
          <w:rFonts w:ascii="Century Schoolbook" w:hAnsi="Century Schoolbook" w:cs="Times New Roman"/>
          <w:i/>
          <w:iCs/>
          <w:szCs w:val="24"/>
        </w:rPr>
        <w:t xml:space="preserve"> of Ins.</w:t>
      </w:r>
      <w:r>
        <w:rPr>
          <w:rFonts w:ascii="Century Schoolbook" w:hAnsi="Century Schoolbook" w:cs="Times New Roman"/>
          <w:szCs w:val="24"/>
        </w:rPr>
        <w:t xml:space="preserve">, 507 So. 2d 1080, 1092 n.10 (Fla. 1987); </w:t>
      </w:r>
      <w:r>
        <w:rPr>
          <w:rFonts w:ascii="Century Schoolbook" w:hAnsi="Century Schoolbook" w:cs="Times New Roman"/>
          <w:i/>
          <w:iCs/>
          <w:szCs w:val="24"/>
        </w:rPr>
        <w:t xml:space="preserve">VanBibber v. Hartford Accident &amp; </w:t>
      </w:r>
      <w:proofErr w:type="spellStart"/>
      <w:r>
        <w:rPr>
          <w:rFonts w:ascii="Century Schoolbook" w:hAnsi="Century Schoolbook" w:cs="Times New Roman"/>
          <w:i/>
          <w:iCs/>
          <w:szCs w:val="24"/>
        </w:rPr>
        <w:t>Indem</w:t>
      </w:r>
      <w:proofErr w:type="spellEnd"/>
      <w:r>
        <w:rPr>
          <w:rFonts w:ascii="Century Schoolbook" w:hAnsi="Century Schoolbook" w:cs="Times New Roman"/>
          <w:i/>
          <w:iCs/>
          <w:szCs w:val="24"/>
        </w:rPr>
        <w:t>. Ins. Co.</w:t>
      </w:r>
      <w:r>
        <w:rPr>
          <w:rFonts w:ascii="Century Schoolbook" w:hAnsi="Century Schoolbook" w:cs="Times New Roman"/>
          <w:szCs w:val="24"/>
        </w:rPr>
        <w:t>, 439 So. 2d 880 (Fla. 1983)).</w:t>
      </w:r>
    </w:p>
    <w:p w14:paraId="1E9147F6" w14:textId="01EA851C" w:rsidR="00620069" w:rsidRDefault="00682AC0">
      <w:pPr>
        <w:ind w:firstLine="720"/>
        <w:rPr>
          <w:rFonts w:ascii="Century Schoolbook" w:hAnsi="Century Schoolbook" w:cs="Times New Roman"/>
          <w:szCs w:val="24"/>
        </w:rPr>
      </w:pPr>
      <w:r>
        <w:rPr>
          <w:rFonts w:ascii="Century Schoolbook" w:hAnsi="Century Schoolbook" w:cs="Times New Roman"/>
          <w:szCs w:val="24"/>
        </w:rPr>
        <w:t>Additionally, and as touched on in the</w:t>
      </w:r>
      <w:r w:rsidRPr="00620069">
        <w:rPr>
          <w:rFonts w:ascii="Century Schoolbook" w:hAnsi="Century Schoolbook" w:cs="Times New Roman"/>
          <w:szCs w:val="24"/>
        </w:rPr>
        <w:t xml:space="preserve"> </w:t>
      </w:r>
      <w:r>
        <w:rPr>
          <w:rFonts w:ascii="Century Schoolbook" w:hAnsi="Century Schoolbook" w:cs="Times New Roman"/>
          <w:i/>
          <w:iCs/>
          <w:szCs w:val="24"/>
        </w:rPr>
        <w:t>AHCA</w:t>
      </w:r>
      <w:r w:rsidRPr="00620069">
        <w:rPr>
          <w:rFonts w:ascii="Century Schoolbook" w:hAnsi="Century Schoolbook" w:cs="Times New Roman"/>
          <w:szCs w:val="24"/>
        </w:rPr>
        <w:t xml:space="preserve"> </w:t>
      </w:r>
      <w:r>
        <w:rPr>
          <w:rFonts w:ascii="Century Schoolbook" w:hAnsi="Century Schoolbook" w:cs="Times New Roman"/>
          <w:szCs w:val="24"/>
        </w:rPr>
        <w:t xml:space="preserve">decision, Florida Rule of Civil Procedure 1.110(g) permits a pleader to “set up in the same action as many claims or causes of action or defenses in the same right as the pleader has,” and further provides that “[a] party may also state as many separate claims or defenses as that party has, regardless of consistency and whether based on legal or equitable grounds or both.” While some courts have interpreted Rule 1.110(g) as requiring separation of direct and derivative claims into separate actions, </w:t>
      </w:r>
      <w:r>
        <w:rPr>
          <w:rFonts w:ascii="Century Schoolbook" w:hAnsi="Century Schoolbook" w:cs="Times New Roman"/>
          <w:i/>
          <w:iCs/>
          <w:szCs w:val="24"/>
        </w:rPr>
        <w:t>see DiSorbo</w:t>
      </w:r>
      <w:r>
        <w:rPr>
          <w:rFonts w:ascii="Century Schoolbook" w:hAnsi="Century Schoolbook" w:cs="Times New Roman"/>
          <w:szCs w:val="24"/>
        </w:rPr>
        <w:t>,</w:t>
      </w:r>
      <w:r w:rsidRPr="00620069">
        <w:rPr>
          <w:rFonts w:ascii="Century Schoolbook" w:hAnsi="Century Schoolbook" w:cs="Times New Roman"/>
          <w:szCs w:val="24"/>
        </w:rPr>
        <w:t xml:space="preserve"> </w:t>
      </w:r>
      <w:r w:rsidRPr="007941DB">
        <w:rPr>
          <w:rFonts w:ascii="Century Schoolbook" w:hAnsi="Century Schoolbook" w:cs="Times New Roman"/>
          <w:szCs w:val="24"/>
        </w:rPr>
        <w:t>354 So. 3d at 544</w:t>
      </w:r>
      <w:r>
        <w:rPr>
          <w:rFonts w:ascii="Century Schoolbook" w:hAnsi="Century Schoolbook" w:cs="Times New Roman"/>
          <w:szCs w:val="24"/>
        </w:rPr>
        <w:t>, the Rule’s express language broadly authorizes the assertion of multiple claims in a single action, including claims that may be grounded in different legal or equitable theories.</w:t>
      </w:r>
    </w:p>
    <w:p w14:paraId="1A631FF2" w14:textId="6A8DC0E5" w:rsidR="007607E8" w:rsidRDefault="007607E8">
      <w:pPr>
        <w:ind w:firstLine="720"/>
        <w:rPr>
          <w:rFonts w:ascii="Century Schoolbook" w:hAnsi="Century Schoolbook" w:cs="Times New Roman"/>
          <w:szCs w:val="24"/>
        </w:rPr>
      </w:pPr>
      <w:r w:rsidRPr="007607E8">
        <w:rPr>
          <w:rFonts w:ascii="Century Schoolbook" w:hAnsi="Century Schoolbook" w:cs="Times New Roman"/>
          <w:szCs w:val="24"/>
        </w:rPr>
        <w:t xml:space="preserve">It is important to note that, under the proposed statutory amendments, even in situations where direct and derivative claims </w:t>
      </w:r>
      <w:r w:rsidR="00214248">
        <w:rPr>
          <w:rFonts w:ascii="Century Schoolbook" w:hAnsi="Century Schoolbook" w:cs="Times New Roman"/>
          <w:szCs w:val="24"/>
        </w:rPr>
        <w:t xml:space="preserve">could </w:t>
      </w:r>
      <w:r w:rsidRPr="007607E8">
        <w:rPr>
          <w:rFonts w:ascii="Century Schoolbook" w:hAnsi="Century Schoolbook" w:cs="Times New Roman"/>
          <w:szCs w:val="24"/>
        </w:rPr>
        <w:t>be properly brought in a single proceeding, the existing continuing statutory provisions that do not permit a derivative action from being discontinued (such as by being dismissed) or settled without court approval (i.e., 607.0745(1) and 605.0806(1)), should be viewed as applying only to the derivative claims in such single proceeding; and the parties will be entitled to discontinue (such as by dismissal) or to settle any one or more of the direct claims in such single proceeding without having to secure court approval.</w:t>
      </w:r>
      <w:r w:rsidR="00C57416">
        <w:rPr>
          <w:rFonts w:ascii="Century Schoolbook" w:hAnsi="Century Schoolbook" w:cs="Times New Roman"/>
          <w:szCs w:val="24"/>
        </w:rPr>
        <w:t xml:space="preserve"> Likewise, under section 607.0743, </w:t>
      </w:r>
      <w:r w:rsidR="00FF6CAF">
        <w:rPr>
          <w:rFonts w:ascii="Century Schoolbook" w:hAnsi="Century Schoolbook" w:cs="Times New Roman"/>
          <w:szCs w:val="24"/>
        </w:rPr>
        <w:t xml:space="preserve">any stay of derivative claims </w:t>
      </w:r>
      <w:r w:rsidR="00C57416">
        <w:rPr>
          <w:rFonts w:ascii="Century Schoolbook" w:hAnsi="Century Schoolbook" w:cs="Times New Roman"/>
          <w:szCs w:val="24"/>
        </w:rPr>
        <w:t xml:space="preserve">would not </w:t>
      </w:r>
      <w:r w:rsidR="00FF6CAF">
        <w:rPr>
          <w:rFonts w:ascii="Century Schoolbook" w:hAnsi="Century Schoolbook" w:cs="Times New Roman"/>
          <w:szCs w:val="24"/>
        </w:rPr>
        <w:t>impact</w:t>
      </w:r>
      <w:r w:rsidR="00C57416">
        <w:rPr>
          <w:rFonts w:ascii="Century Schoolbook" w:hAnsi="Century Schoolbook" w:cs="Times New Roman"/>
          <w:szCs w:val="24"/>
        </w:rPr>
        <w:t xml:space="preserve"> direct claims in the same proceeding. </w:t>
      </w:r>
    </w:p>
    <w:p w14:paraId="7A117C4F" w14:textId="4EAB7217" w:rsidR="00620069" w:rsidRDefault="00682AC0">
      <w:pPr>
        <w:ind w:firstLine="720"/>
        <w:rPr>
          <w:rFonts w:ascii="Century Schoolbook" w:hAnsi="Century Schoolbook" w:cs="Times New Roman"/>
          <w:szCs w:val="24"/>
        </w:rPr>
      </w:pPr>
      <w:r>
        <w:rPr>
          <w:rFonts w:ascii="Century Schoolbook" w:hAnsi="Century Schoolbook" w:cs="Times New Roman"/>
          <w:szCs w:val="24"/>
        </w:rPr>
        <w:t xml:space="preserve">With the </w:t>
      </w:r>
      <w:proofErr w:type="spellStart"/>
      <w:r>
        <w:rPr>
          <w:rFonts w:ascii="Century Schoolbook" w:hAnsi="Century Schoolbook" w:cs="Times New Roman"/>
          <w:i/>
          <w:iCs/>
          <w:szCs w:val="24"/>
        </w:rPr>
        <w:t>Dinuro</w:t>
      </w:r>
      <w:proofErr w:type="spellEnd"/>
      <w:r w:rsidRPr="00620069">
        <w:rPr>
          <w:rFonts w:ascii="Century Schoolbook" w:hAnsi="Century Schoolbook" w:cs="Times New Roman"/>
          <w:szCs w:val="24"/>
        </w:rPr>
        <w:t xml:space="preserve"> </w:t>
      </w:r>
      <w:r>
        <w:rPr>
          <w:rFonts w:ascii="Century Schoolbook" w:hAnsi="Century Schoolbook" w:cs="Times New Roman"/>
          <w:szCs w:val="24"/>
        </w:rPr>
        <w:t xml:space="preserve">cases currently requiring separate </w:t>
      </w:r>
      <w:r w:rsidR="000A6998">
        <w:rPr>
          <w:rFonts w:ascii="Century Schoolbook" w:hAnsi="Century Schoolbook" w:cs="Times New Roman"/>
          <w:szCs w:val="24"/>
        </w:rPr>
        <w:t>proceedings</w:t>
      </w:r>
      <w:r>
        <w:rPr>
          <w:rFonts w:ascii="Century Schoolbook" w:hAnsi="Century Schoolbook" w:cs="Times New Roman"/>
          <w:szCs w:val="24"/>
        </w:rPr>
        <w:t xml:space="preserve"> for direct and derivative claims arising from the same facts, courts are imposing significant and unnecessary burdens on all parties and on the courts. Separating actions forces plaintiffs to file duplicative lawsuits, compels defendants to respond to overlapping allegations in multiple proceedings, and requires judges to preside over multiple cases involving substantially identical facts and witnesses. The proposed statutory amendments would eliminate</w:t>
      </w:r>
      <w:r w:rsidR="000E0DEE">
        <w:rPr>
          <w:rFonts w:ascii="Century Schoolbook" w:hAnsi="Century Schoolbook" w:cs="Times New Roman"/>
          <w:szCs w:val="24"/>
        </w:rPr>
        <w:t>, in large part,</w:t>
      </w:r>
      <w:r>
        <w:rPr>
          <w:rFonts w:ascii="Century Schoolbook" w:hAnsi="Century Schoolbook" w:cs="Times New Roman"/>
          <w:szCs w:val="24"/>
        </w:rPr>
        <w:t xml:space="preserve"> this inefficiency by authorizing the joinder of direct and derivative claims in a single proceeding when the claims involve </w:t>
      </w:r>
      <w:r>
        <w:rPr>
          <w:rFonts w:ascii="Century Schoolbook" w:hAnsi="Century Schoolbook" w:cs="Times New Roman"/>
          <w:szCs w:val="24"/>
        </w:rPr>
        <w:lastRenderedPageBreak/>
        <w:t>a common question of law or fact, thereby promoting judicial economy and reducing the costs and burdens of litigation for all participants.</w:t>
      </w:r>
    </w:p>
    <w:p w14:paraId="4A16435A" w14:textId="5322B686" w:rsidR="002D476A" w:rsidRDefault="00682AC0" w:rsidP="002D476A">
      <w:pPr>
        <w:spacing w:after="0"/>
        <w:jc w:val="center"/>
        <w:rPr>
          <w:rFonts w:ascii="Century Schoolbook" w:hAnsi="Century Schoolbook" w:cs="Times New Roman"/>
          <w:b/>
          <w:bCs/>
          <w:caps/>
          <w:szCs w:val="24"/>
        </w:rPr>
      </w:pPr>
      <w:r w:rsidRPr="007941DB">
        <w:rPr>
          <w:rFonts w:ascii="Century Schoolbook" w:hAnsi="Century Schoolbook" w:cs="Times New Roman"/>
          <w:b/>
          <w:bCs/>
          <w:caps/>
          <w:szCs w:val="24"/>
        </w:rPr>
        <w:t>Review of Other Jurisdictions’ STATUTES</w:t>
      </w:r>
    </w:p>
    <w:p w14:paraId="5993443B" w14:textId="4DBF9725" w:rsidR="0017108D" w:rsidRPr="002D476A" w:rsidRDefault="00682AC0" w:rsidP="002D476A">
      <w:pPr>
        <w:spacing w:after="0"/>
        <w:jc w:val="center"/>
        <w:rPr>
          <w:rFonts w:ascii="Century Schoolbook" w:hAnsi="Century Schoolbook" w:cs="Times New Roman"/>
          <w:b/>
          <w:bCs/>
          <w:caps/>
          <w:szCs w:val="24"/>
          <w:u w:val="single"/>
        </w:rPr>
      </w:pPr>
      <w:r w:rsidRPr="002D476A">
        <w:rPr>
          <w:rFonts w:ascii="Century Schoolbook" w:hAnsi="Century Schoolbook" w:cs="Times New Roman"/>
          <w:b/>
          <w:bCs/>
          <w:caps/>
          <w:szCs w:val="24"/>
          <w:u w:val="single"/>
        </w:rPr>
        <w:t>RELATING TO DIRECT ACTION STANDING</w:t>
      </w:r>
    </w:p>
    <w:p w14:paraId="01AD6E45" w14:textId="77777777" w:rsidR="0017108D" w:rsidRPr="007941DB" w:rsidRDefault="0017108D" w:rsidP="0017108D">
      <w:pPr>
        <w:spacing w:after="0"/>
        <w:rPr>
          <w:rFonts w:ascii="Century Schoolbook" w:hAnsi="Century Schoolbook" w:cs="Times New Roman"/>
          <w:szCs w:val="24"/>
        </w:rPr>
      </w:pPr>
    </w:p>
    <w:p w14:paraId="756BF094" w14:textId="77777777" w:rsidR="0017108D" w:rsidRPr="007941DB" w:rsidRDefault="00682AC0" w:rsidP="0017108D">
      <w:pPr>
        <w:ind w:firstLine="720"/>
        <w:rPr>
          <w:rFonts w:ascii="Century Schoolbook" w:hAnsi="Century Schoolbook" w:cs="Times New Roman"/>
          <w:szCs w:val="24"/>
        </w:rPr>
      </w:pPr>
      <w:r w:rsidRPr="007941DB">
        <w:rPr>
          <w:rFonts w:ascii="Century Schoolbook" w:hAnsi="Century Schoolbook" w:cs="Times New Roman"/>
          <w:szCs w:val="24"/>
        </w:rPr>
        <w:t>The Task Force identified</w:t>
      </w:r>
      <w:r w:rsidR="00FE5849">
        <w:rPr>
          <w:rFonts w:ascii="Century Schoolbook" w:hAnsi="Century Schoolbook" w:cs="Times New Roman"/>
          <w:szCs w:val="24"/>
        </w:rPr>
        <w:t xml:space="preserve"> five</w:t>
      </w:r>
      <w:r w:rsidRPr="007941DB">
        <w:rPr>
          <w:rFonts w:ascii="Century Schoolbook" w:hAnsi="Century Schoolbook" w:cs="Times New Roman"/>
          <w:szCs w:val="24"/>
        </w:rPr>
        <w:t xml:space="preserve"> states, apart from Florida, that have enacted statutes or have judicial precedent of varying specificity concerning direct standing: Delaware, Nevada, Tennessee, Texas, and Wyoming. None of these jurisdictions ha</w:t>
      </w:r>
      <w:r w:rsidR="00FE5849">
        <w:rPr>
          <w:rFonts w:ascii="Century Schoolbook" w:hAnsi="Century Schoolbook" w:cs="Times New Roman"/>
          <w:szCs w:val="24"/>
        </w:rPr>
        <w:t>ve</w:t>
      </w:r>
      <w:r w:rsidRPr="007941DB">
        <w:rPr>
          <w:rFonts w:ascii="Century Schoolbook" w:hAnsi="Century Schoolbook" w:cs="Times New Roman"/>
          <w:szCs w:val="24"/>
        </w:rPr>
        <w:t xml:space="preserve"> adopted the “special injury” test outlined in </w:t>
      </w:r>
      <w:proofErr w:type="spellStart"/>
      <w:r w:rsidRPr="007941DB">
        <w:rPr>
          <w:rFonts w:ascii="Century Schoolbook" w:hAnsi="Century Schoolbook" w:cs="Times New Roman"/>
          <w:i/>
          <w:iCs/>
          <w:szCs w:val="24"/>
        </w:rPr>
        <w:t>Dinuro</w:t>
      </w:r>
      <w:proofErr w:type="spellEnd"/>
      <w:r w:rsidRPr="007941DB">
        <w:rPr>
          <w:rFonts w:ascii="Century Schoolbook" w:hAnsi="Century Schoolbook" w:cs="Times New Roman"/>
          <w:szCs w:val="24"/>
        </w:rPr>
        <w:t xml:space="preserve">, and most have </w:t>
      </w:r>
      <w:r w:rsidR="0015075F" w:rsidRPr="007941DB">
        <w:rPr>
          <w:rFonts w:ascii="Century Schoolbook" w:hAnsi="Century Schoolbook" w:cs="Times New Roman"/>
          <w:szCs w:val="24"/>
        </w:rPr>
        <w:t>simply split the “direct harm” test into its own two-prong test that requires the plaintiff show direct harm by proving (1) who suffered the alleged harm and (2) who would receive the benefit of recovery.</w:t>
      </w:r>
    </w:p>
    <w:p w14:paraId="48F961B7" w14:textId="77777777" w:rsidR="0017108D" w:rsidRPr="007941DB" w:rsidRDefault="00682AC0" w:rsidP="009B5854">
      <w:pPr>
        <w:rPr>
          <w:rFonts w:ascii="Century Schoolbook" w:hAnsi="Century Schoolbook" w:cs="Times New Roman"/>
          <w:i/>
          <w:iCs/>
          <w:szCs w:val="24"/>
          <w:u w:val="single"/>
        </w:rPr>
      </w:pPr>
      <w:r w:rsidRPr="007941DB">
        <w:rPr>
          <w:rFonts w:ascii="Century Schoolbook" w:hAnsi="Century Schoolbook" w:cs="Times New Roman"/>
          <w:i/>
          <w:iCs/>
          <w:szCs w:val="24"/>
          <w:u w:val="single"/>
        </w:rPr>
        <w:t>Delaware</w:t>
      </w:r>
    </w:p>
    <w:p w14:paraId="2226954E" w14:textId="1233EC65" w:rsidR="0017108D" w:rsidRPr="007941DB" w:rsidRDefault="00682AC0" w:rsidP="0017108D">
      <w:pPr>
        <w:ind w:firstLine="720"/>
        <w:rPr>
          <w:rFonts w:ascii="Century Schoolbook" w:hAnsi="Century Schoolbook" w:cs="Times New Roman"/>
          <w:szCs w:val="24"/>
        </w:rPr>
      </w:pPr>
      <w:bookmarkStart w:id="22" w:name="cite-f84791db-f139-4420-8314-24a64228673"/>
      <w:bookmarkStart w:id="23" w:name="cite-86ec8dd0-2433-4497-b0fe-68a4ad5103e"/>
      <w:bookmarkStart w:id="24" w:name="cite-fa3c49c0-3915-45b2-b53c-b6d92229b17"/>
      <w:bookmarkStart w:id="25" w:name="cite-73b424e4-abb2-4cd9-83d3-0bee58617d4"/>
      <w:bookmarkStart w:id="26" w:name="cite-0669d539-b3ec-4e84-a4ac-7d40624f8d8"/>
      <w:bookmarkStart w:id="27" w:name="cite-4f9d5e14-9770-41e0-a4f4-802861e22e6"/>
      <w:r w:rsidRPr="007941DB">
        <w:rPr>
          <w:rFonts w:ascii="Century Schoolbook" w:hAnsi="Century Schoolbook" w:cs="Times New Roman"/>
          <w:szCs w:val="24"/>
        </w:rPr>
        <w:t xml:space="preserve">Delaware has no statutory provision governing direct claims for either LLCs or corporations. </w:t>
      </w:r>
      <w:bookmarkEnd w:id="22"/>
      <w:bookmarkEnd w:id="23"/>
      <w:r w:rsidRPr="007941DB">
        <w:rPr>
          <w:rFonts w:ascii="Century Schoolbook" w:hAnsi="Century Schoolbook" w:cs="Times New Roman"/>
          <w:szCs w:val="24"/>
        </w:rPr>
        <w:t xml:space="preserve">The right to bring a direct action in Delaware is a matter of common law. The controlling standard is the </w:t>
      </w:r>
      <w:r w:rsidRPr="007941DB">
        <w:rPr>
          <w:rFonts w:ascii="Century Schoolbook" w:hAnsi="Century Schoolbook" w:cs="Times New Roman"/>
          <w:i/>
          <w:szCs w:val="24"/>
        </w:rPr>
        <w:t>Tooley</w:t>
      </w:r>
      <w:r w:rsidRPr="007941DB">
        <w:rPr>
          <w:rFonts w:ascii="Century Schoolbook" w:hAnsi="Century Schoolbook" w:cs="Times New Roman"/>
          <w:szCs w:val="24"/>
        </w:rPr>
        <w:t xml:space="preserve"> test, announced in </w:t>
      </w:r>
      <w:r w:rsidRPr="007941DB">
        <w:rPr>
          <w:rFonts w:ascii="Century Schoolbook" w:hAnsi="Century Schoolbook" w:cs="Times New Roman"/>
          <w:i/>
          <w:szCs w:val="24"/>
        </w:rPr>
        <w:t>Tooley v. Donaldson, Lufkin &amp; Jenrette, Inc.</w:t>
      </w:r>
      <w:r w:rsidRPr="007941DB">
        <w:rPr>
          <w:rFonts w:ascii="Century Schoolbook" w:hAnsi="Century Schoolbook" w:cs="Times New Roman"/>
          <w:szCs w:val="24"/>
        </w:rPr>
        <w:t>, 845 A.2d 1031 (Del. 2004), which asks two questions: (1) who suffered the alleged harm—the entity or the individual owner? and (2) who would receive the benefit of any recovery—the entity or the individual owner?</w:t>
      </w:r>
      <w:bookmarkEnd w:id="24"/>
      <w:r w:rsidRPr="007941DB">
        <w:rPr>
          <w:rFonts w:ascii="Century Schoolbook" w:hAnsi="Century Schoolbook" w:cs="Times New Roman"/>
          <w:szCs w:val="24"/>
        </w:rPr>
        <w:t xml:space="preserve"> Delaware does not impose a “special injury” requirement. Its derivative action framework for LLCs is found in Sections 18-1001 through 18-1004 of the Delaware Limited Liability Company Act, and for corporations in § 327 of the Delaware General Corporation Law. </w:t>
      </w:r>
      <w:bookmarkEnd w:id="25"/>
      <w:bookmarkEnd w:id="26"/>
      <w:r w:rsidRPr="007941DB">
        <w:rPr>
          <w:rFonts w:ascii="Century Schoolbook" w:hAnsi="Century Schoolbook" w:cs="Times New Roman"/>
          <w:szCs w:val="24"/>
        </w:rPr>
        <w:t xml:space="preserve">As the Court of Chancery noted in </w:t>
      </w:r>
      <w:r w:rsidRPr="007941DB">
        <w:rPr>
          <w:rFonts w:ascii="Century Schoolbook" w:hAnsi="Century Schoolbook" w:cs="Times New Roman"/>
          <w:i/>
          <w:szCs w:val="24"/>
        </w:rPr>
        <w:t>Bamford v. Penfold, L.P.</w:t>
      </w:r>
      <w:r w:rsidRPr="007941DB">
        <w:rPr>
          <w:rFonts w:ascii="Century Schoolbook" w:hAnsi="Century Schoolbook" w:cs="Times New Roman"/>
          <w:szCs w:val="24"/>
        </w:rPr>
        <w:t xml:space="preserve">, 2020 Del. Ch. LEXIS 79, the LLC derivative action provisions were modeled on the corporate derivative </w:t>
      </w:r>
      <w:r w:rsidR="00A83A97">
        <w:rPr>
          <w:rFonts w:ascii="Century Schoolbook" w:hAnsi="Century Schoolbook" w:cs="Times New Roman"/>
          <w:szCs w:val="24"/>
        </w:rPr>
        <w:t>action provisions and case law</w:t>
      </w:r>
      <w:r w:rsidRPr="007941DB">
        <w:rPr>
          <w:rFonts w:ascii="Century Schoolbook" w:hAnsi="Century Schoolbook" w:cs="Times New Roman"/>
          <w:szCs w:val="24"/>
        </w:rPr>
        <w:t>, and</w:t>
      </w:r>
      <w:r w:rsidR="00A83A97">
        <w:rPr>
          <w:rFonts w:ascii="Century Schoolbook" w:hAnsi="Century Schoolbook" w:cs="Times New Roman"/>
          <w:szCs w:val="24"/>
        </w:rPr>
        <w:t xml:space="preserve"> such</w:t>
      </w:r>
      <w:r w:rsidRPr="007941DB">
        <w:rPr>
          <w:rFonts w:ascii="Century Schoolbook" w:hAnsi="Century Schoolbook" w:cs="Times New Roman"/>
          <w:szCs w:val="24"/>
        </w:rPr>
        <w:t xml:space="preserve"> corporate case law applies equally to LLC derivative claims. </w:t>
      </w:r>
      <w:bookmarkEnd w:id="27"/>
    </w:p>
    <w:p w14:paraId="3D3A936C" w14:textId="77777777" w:rsidR="0017108D" w:rsidRPr="007941DB" w:rsidRDefault="00682AC0" w:rsidP="009B5854">
      <w:pPr>
        <w:rPr>
          <w:rFonts w:ascii="Century Schoolbook" w:hAnsi="Century Schoolbook" w:cs="Times New Roman"/>
          <w:i/>
          <w:iCs/>
          <w:szCs w:val="24"/>
          <w:u w:val="single"/>
        </w:rPr>
      </w:pPr>
      <w:r w:rsidRPr="007941DB">
        <w:rPr>
          <w:rFonts w:ascii="Century Schoolbook" w:hAnsi="Century Schoolbook" w:cs="Times New Roman"/>
          <w:i/>
          <w:iCs/>
          <w:szCs w:val="24"/>
          <w:u w:val="single"/>
        </w:rPr>
        <w:t>Nevada</w:t>
      </w:r>
    </w:p>
    <w:p w14:paraId="0B367805" w14:textId="77777777" w:rsidR="0017108D" w:rsidRPr="007941DB" w:rsidRDefault="00682AC0" w:rsidP="0017108D">
      <w:pPr>
        <w:ind w:firstLine="720"/>
        <w:rPr>
          <w:rFonts w:ascii="Century Schoolbook" w:hAnsi="Century Schoolbook" w:cs="Times New Roman"/>
          <w:szCs w:val="24"/>
        </w:rPr>
      </w:pPr>
      <w:bookmarkStart w:id="28" w:name="cite-2628719c-b803-4009-9b5c-de247b535e5"/>
      <w:bookmarkStart w:id="29" w:name="cite-86651b06-53d1-427d-8362-88dfadbee69"/>
      <w:bookmarkStart w:id="30" w:name="cite-0d96bc05-6a0a-4184-9e11-ff17ebf8182"/>
      <w:r w:rsidRPr="007941DB">
        <w:rPr>
          <w:rFonts w:ascii="Century Schoolbook" w:hAnsi="Century Schoolbook" w:cs="Times New Roman"/>
          <w:szCs w:val="24"/>
        </w:rPr>
        <w:t xml:space="preserve">Nevada’s statutes do not expressly address direct claims for either LLCs or corporations. </w:t>
      </w:r>
      <w:bookmarkEnd w:id="28"/>
      <w:r w:rsidRPr="007941DB">
        <w:rPr>
          <w:rFonts w:ascii="Century Schoolbook" w:hAnsi="Century Schoolbook" w:cs="Times New Roman"/>
          <w:szCs w:val="24"/>
        </w:rPr>
        <w:t xml:space="preserve">Courts in Nevada rely on the </w:t>
      </w:r>
      <w:r w:rsidRPr="007941DB">
        <w:rPr>
          <w:rFonts w:ascii="Century Schoolbook" w:hAnsi="Century Schoolbook" w:cs="Times New Roman"/>
          <w:i/>
          <w:szCs w:val="24"/>
        </w:rPr>
        <w:t>Tooley</w:t>
      </w:r>
      <w:r w:rsidRPr="007941DB">
        <w:rPr>
          <w:rFonts w:ascii="Century Schoolbook" w:hAnsi="Century Schoolbook" w:cs="Times New Roman"/>
          <w:szCs w:val="24"/>
        </w:rPr>
        <w:t xml:space="preserve"> test, which was adopted by the Nevada Supreme Court in </w:t>
      </w:r>
      <w:r w:rsidRPr="007941DB">
        <w:rPr>
          <w:rFonts w:ascii="Century Schoolbook" w:hAnsi="Century Schoolbook" w:cs="Times New Roman"/>
          <w:i/>
          <w:szCs w:val="24"/>
        </w:rPr>
        <w:t>Parametric Sound Corp. v. Eighth Judicial District Court</w:t>
      </w:r>
      <w:r w:rsidRPr="007941DB">
        <w:rPr>
          <w:rFonts w:ascii="Century Schoolbook" w:hAnsi="Century Schoolbook" w:cs="Times New Roman"/>
          <w:szCs w:val="24"/>
        </w:rPr>
        <w:t xml:space="preserve">, 133 Nev. 417, 401 P.3d 1100 (2017). </w:t>
      </w:r>
      <w:bookmarkEnd w:id="29"/>
      <w:r w:rsidRPr="007941DB">
        <w:rPr>
          <w:rFonts w:ascii="Century Schoolbook" w:hAnsi="Century Schoolbook" w:cs="Times New Roman"/>
          <w:szCs w:val="24"/>
        </w:rPr>
        <w:t xml:space="preserve">The </w:t>
      </w:r>
      <w:r w:rsidRPr="007941DB">
        <w:rPr>
          <w:rFonts w:ascii="Century Schoolbook" w:hAnsi="Century Schoolbook" w:cs="Times New Roman"/>
          <w:i/>
          <w:szCs w:val="24"/>
        </w:rPr>
        <w:t>Tooley</w:t>
      </w:r>
      <w:r w:rsidRPr="007941DB">
        <w:rPr>
          <w:rFonts w:ascii="Century Schoolbook" w:hAnsi="Century Schoolbook" w:cs="Times New Roman"/>
          <w:szCs w:val="24"/>
        </w:rPr>
        <w:t xml:space="preserve"> test, as applied in Nevada, asks two questions: (1) who suffered the alleged harm, and (2) who would receive the benefit of the recovery. </w:t>
      </w:r>
      <w:bookmarkEnd w:id="30"/>
      <w:r w:rsidRPr="007941DB">
        <w:rPr>
          <w:rFonts w:ascii="Century Schoolbook" w:hAnsi="Century Schoolbook" w:cs="Times New Roman"/>
          <w:szCs w:val="24"/>
        </w:rPr>
        <w:t>Like Delaware, Nevada does not impose a “special injury” requirement.</w:t>
      </w:r>
    </w:p>
    <w:p w14:paraId="43A70CDE" w14:textId="77777777" w:rsidR="0017108D" w:rsidRPr="007941DB" w:rsidRDefault="00682AC0" w:rsidP="009B5854">
      <w:pPr>
        <w:rPr>
          <w:rFonts w:ascii="Century Schoolbook" w:hAnsi="Century Schoolbook" w:cs="Times New Roman"/>
          <w:i/>
          <w:iCs/>
          <w:szCs w:val="24"/>
          <w:u w:val="single"/>
        </w:rPr>
      </w:pPr>
      <w:r w:rsidRPr="007941DB">
        <w:rPr>
          <w:rFonts w:ascii="Century Schoolbook" w:hAnsi="Century Schoolbook" w:cs="Times New Roman"/>
          <w:i/>
          <w:iCs/>
          <w:szCs w:val="24"/>
          <w:u w:val="single"/>
        </w:rPr>
        <w:t>Tennessee</w:t>
      </w:r>
    </w:p>
    <w:p w14:paraId="7AA56B33" w14:textId="776D950A" w:rsidR="0017108D" w:rsidRPr="007941DB" w:rsidRDefault="00682AC0" w:rsidP="0017108D">
      <w:pPr>
        <w:ind w:firstLine="720"/>
        <w:rPr>
          <w:rFonts w:ascii="Century Schoolbook" w:hAnsi="Century Schoolbook" w:cs="Times New Roman"/>
          <w:szCs w:val="24"/>
        </w:rPr>
      </w:pPr>
      <w:bookmarkStart w:id="31" w:name="cite-9cd636a4-2dfc-472b-a4a3-198d0385644"/>
      <w:bookmarkStart w:id="32" w:name="cite-03055251-3ba9-4a44-8f5b-22b177863ed"/>
      <w:bookmarkStart w:id="33" w:name="cite-bc2e21b4-56ff-4bde-ac6b-5ffc82c18ba"/>
      <w:bookmarkStart w:id="34" w:name="cite-cff55942-cb31-45f0-8d34-dbe8c4091d9"/>
      <w:bookmarkStart w:id="35" w:name="cite-b608d373-7545-4dba-8080-356fc726fb0"/>
      <w:r w:rsidRPr="007941DB">
        <w:rPr>
          <w:rFonts w:ascii="Century Schoolbook" w:hAnsi="Century Schoolbook" w:cs="Times New Roman"/>
          <w:szCs w:val="24"/>
        </w:rPr>
        <w:t xml:space="preserve">Tennessee does not have a statutory provision for direct claims by LLC members or shareholders. </w:t>
      </w:r>
      <w:bookmarkEnd w:id="31"/>
      <w:r w:rsidRPr="007941DB">
        <w:rPr>
          <w:rFonts w:ascii="Century Schoolbook" w:hAnsi="Century Schoolbook" w:cs="Times New Roman"/>
          <w:szCs w:val="24"/>
        </w:rPr>
        <w:t xml:space="preserve">Tennessee uses the </w:t>
      </w:r>
      <w:r w:rsidRPr="007941DB">
        <w:rPr>
          <w:rFonts w:ascii="Century Schoolbook" w:hAnsi="Century Schoolbook" w:cs="Times New Roman"/>
          <w:i/>
          <w:szCs w:val="24"/>
        </w:rPr>
        <w:t>Tooley</w:t>
      </w:r>
      <w:r w:rsidRPr="007941DB">
        <w:rPr>
          <w:rFonts w:ascii="Century Schoolbook" w:hAnsi="Century Schoolbook" w:cs="Times New Roman"/>
          <w:szCs w:val="24"/>
        </w:rPr>
        <w:t xml:space="preserve"> test to distinguish direct from derivative actions, as confirmed in </w:t>
      </w:r>
      <w:r w:rsidRPr="007941DB">
        <w:rPr>
          <w:rFonts w:ascii="Century Schoolbook" w:hAnsi="Century Schoolbook" w:cs="Times New Roman"/>
          <w:i/>
          <w:szCs w:val="24"/>
        </w:rPr>
        <w:t>Keller v. Estate of McRedmond</w:t>
      </w:r>
      <w:r w:rsidRPr="007941DB">
        <w:rPr>
          <w:rFonts w:ascii="Century Schoolbook" w:hAnsi="Century Schoolbook" w:cs="Times New Roman"/>
          <w:szCs w:val="24"/>
        </w:rPr>
        <w:t xml:space="preserve">, 495 S.W.3d 852 (Tenn. 2016), and reaffirmed in </w:t>
      </w:r>
      <w:r w:rsidRPr="007941DB">
        <w:rPr>
          <w:rFonts w:ascii="Century Schoolbook" w:hAnsi="Century Schoolbook" w:cs="Times New Roman"/>
          <w:i/>
          <w:szCs w:val="24"/>
        </w:rPr>
        <w:t>Houghton v. Malibu Boats, LLC</w:t>
      </w:r>
      <w:r w:rsidRPr="007941DB">
        <w:rPr>
          <w:rFonts w:ascii="Century Schoolbook" w:hAnsi="Century Schoolbook" w:cs="Times New Roman"/>
          <w:szCs w:val="24"/>
        </w:rPr>
        <w:t xml:space="preserve">, 2025 Tenn. LEXIS </w:t>
      </w:r>
      <w:r w:rsidRPr="007941DB">
        <w:rPr>
          <w:rFonts w:ascii="Century Schoolbook" w:hAnsi="Century Schoolbook" w:cs="Times New Roman"/>
          <w:szCs w:val="24"/>
        </w:rPr>
        <w:lastRenderedPageBreak/>
        <w:t xml:space="preserve">439 (Tenn. 2025). </w:t>
      </w:r>
      <w:bookmarkEnd w:id="32"/>
      <w:bookmarkEnd w:id="33"/>
      <w:bookmarkEnd w:id="34"/>
      <w:r w:rsidRPr="007941DB">
        <w:rPr>
          <w:rFonts w:ascii="Century Schoolbook" w:hAnsi="Century Schoolbook" w:cs="Times New Roman"/>
          <w:szCs w:val="24"/>
        </w:rPr>
        <w:t xml:space="preserve">Under the </w:t>
      </w:r>
      <w:r w:rsidRPr="007941DB">
        <w:rPr>
          <w:rFonts w:ascii="Century Schoolbook" w:hAnsi="Century Schoolbook" w:cs="Times New Roman"/>
          <w:i/>
          <w:szCs w:val="24"/>
        </w:rPr>
        <w:t>Tooley</w:t>
      </w:r>
      <w:r w:rsidRPr="007941DB">
        <w:rPr>
          <w:rFonts w:ascii="Century Schoolbook" w:hAnsi="Century Schoolbook" w:cs="Times New Roman"/>
          <w:szCs w:val="24"/>
        </w:rPr>
        <w:t xml:space="preserve"> test</w:t>
      </w:r>
      <w:r w:rsidR="00C95E9D">
        <w:rPr>
          <w:rFonts w:ascii="Century Schoolbook" w:hAnsi="Century Schoolbook" w:cs="Times New Roman"/>
          <w:szCs w:val="24"/>
        </w:rPr>
        <w:t>,</w:t>
      </w:r>
      <w:r w:rsidRPr="007941DB">
        <w:rPr>
          <w:rFonts w:ascii="Century Schoolbook" w:hAnsi="Century Schoolbook" w:cs="Times New Roman"/>
          <w:szCs w:val="24"/>
        </w:rPr>
        <w:t xml:space="preserve"> as applied in Tennessee, a court examines who suffered the harm and who would receive the benefit of the recovery. </w:t>
      </w:r>
      <w:bookmarkEnd w:id="35"/>
    </w:p>
    <w:p w14:paraId="370E7977" w14:textId="77777777" w:rsidR="0017108D" w:rsidRPr="007941DB" w:rsidRDefault="00682AC0" w:rsidP="009B5854">
      <w:pPr>
        <w:rPr>
          <w:rFonts w:ascii="Century Schoolbook" w:hAnsi="Century Schoolbook" w:cs="Times New Roman"/>
          <w:i/>
          <w:iCs/>
          <w:szCs w:val="24"/>
          <w:u w:val="single"/>
        </w:rPr>
      </w:pPr>
      <w:r w:rsidRPr="007941DB">
        <w:rPr>
          <w:rFonts w:ascii="Century Schoolbook" w:hAnsi="Century Schoolbook" w:cs="Times New Roman"/>
          <w:i/>
          <w:iCs/>
          <w:szCs w:val="24"/>
          <w:u w:val="single"/>
        </w:rPr>
        <w:t>Texas</w:t>
      </w:r>
    </w:p>
    <w:p w14:paraId="4156A079" w14:textId="77777777" w:rsidR="0017108D" w:rsidRPr="007941DB" w:rsidRDefault="00682AC0" w:rsidP="0017108D">
      <w:pPr>
        <w:ind w:firstLine="720"/>
        <w:rPr>
          <w:rFonts w:ascii="Century Schoolbook" w:hAnsi="Century Schoolbook" w:cs="Times New Roman"/>
          <w:szCs w:val="24"/>
        </w:rPr>
      </w:pPr>
      <w:bookmarkStart w:id="36" w:name="cite-c3fd78bf-837e-402c-acef-f7b545029fd"/>
      <w:bookmarkStart w:id="37" w:name="cite-9bcc879c-8883-4721-85ad-787085627b6"/>
      <w:r w:rsidRPr="007941DB">
        <w:rPr>
          <w:rFonts w:ascii="Century Schoolbook" w:hAnsi="Century Schoolbook" w:cs="Times New Roman"/>
          <w:szCs w:val="24"/>
        </w:rPr>
        <w:t>Texas does not have a statutory provision for direct claims by LLC members or corporate shareholders.</w:t>
      </w:r>
      <w:bookmarkEnd w:id="36"/>
      <w:r w:rsidRPr="007941DB">
        <w:rPr>
          <w:rFonts w:ascii="Century Schoolbook" w:hAnsi="Century Schoolbook" w:cs="Times New Roman"/>
          <w:szCs w:val="24"/>
        </w:rPr>
        <w:t xml:space="preserve"> On the other hand, Texas’s derivative action statutes for LLCs (§§ 101.451–101.463) and corporations (§§ 21.551–21.563) are among the most detailed in the </w:t>
      </w:r>
      <w:proofErr w:type="gramStart"/>
      <w:r w:rsidRPr="007941DB">
        <w:rPr>
          <w:rFonts w:ascii="Century Schoolbook" w:hAnsi="Century Schoolbook" w:cs="Times New Roman"/>
          <w:szCs w:val="24"/>
        </w:rPr>
        <w:t>country, and</w:t>
      </w:r>
      <w:proofErr w:type="gramEnd"/>
      <w:r w:rsidRPr="007941DB">
        <w:rPr>
          <w:rFonts w:ascii="Century Schoolbook" w:hAnsi="Century Schoolbook" w:cs="Times New Roman"/>
          <w:szCs w:val="24"/>
        </w:rPr>
        <w:t xml:space="preserve"> include specialized provisions for closely held entities. For closely held LLCs (fewer than 35 members with no publicly traded interests) and closely held corporations, the standing and demand requirements of the derivative action statutes do not apply, and courts may, “if justice requires,” treat a derivative proceeding as a direct action and order recovery to be paid directly to the plaintiff. </w:t>
      </w:r>
      <w:bookmarkEnd w:id="37"/>
      <w:r w:rsidRPr="007941DB">
        <w:rPr>
          <w:rFonts w:ascii="Century Schoolbook" w:hAnsi="Century Schoolbook" w:cs="Times New Roman"/>
          <w:szCs w:val="24"/>
        </w:rPr>
        <w:t>This closely held entity exception has no equivalent in Florida law.</w:t>
      </w:r>
    </w:p>
    <w:p w14:paraId="33571E6B" w14:textId="77777777" w:rsidR="0017108D" w:rsidRPr="007941DB" w:rsidRDefault="00682AC0" w:rsidP="0017108D">
      <w:pPr>
        <w:ind w:firstLine="720"/>
        <w:rPr>
          <w:rFonts w:ascii="Century Schoolbook" w:hAnsi="Century Schoolbook" w:cs="Times New Roman"/>
          <w:szCs w:val="24"/>
        </w:rPr>
      </w:pPr>
      <w:bookmarkStart w:id="38" w:name="cite-dd637259-3ddc-440c-8b81-a259a8f88d4"/>
      <w:bookmarkStart w:id="39" w:name="cite-3c39f7f9-46e3-438d-8889-f24be67355c"/>
      <w:r w:rsidRPr="007941DB">
        <w:rPr>
          <w:rFonts w:ascii="Century Schoolbook" w:hAnsi="Century Schoolbook" w:cs="Times New Roman"/>
          <w:szCs w:val="24"/>
        </w:rPr>
        <w:t>Texas case</w:t>
      </w:r>
      <w:r w:rsidR="008956BF">
        <w:rPr>
          <w:rFonts w:ascii="Century Schoolbook" w:hAnsi="Century Schoolbook" w:cs="Times New Roman"/>
          <w:szCs w:val="24"/>
        </w:rPr>
        <w:t xml:space="preserve"> </w:t>
      </w:r>
      <w:r w:rsidRPr="007941DB">
        <w:rPr>
          <w:rFonts w:ascii="Century Schoolbook" w:hAnsi="Century Schoolbook" w:cs="Times New Roman"/>
          <w:szCs w:val="24"/>
        </w:rPr>
        <w:t xml:space="preserve">law has not established a single definitive test like </w:t>
      </w:r>
      <w:r w:rsidRPr="007941DB">
        <w:rPr>
          <w:rFonts w:ascii="Century Schoolbook" w:hAnsi="Century Schoolbook" w:cs="Times New Roman"/>
          <w:i/>
          <w:szCs w:val="24"/>
        </w:rPr>
        <w:t>Tooley</w:t>
      </w:r>
      <w:r w:rsidRPr="007941DB">
        <w:rPr>
          <w:rFonts w:ascii="Century Schoolbook" w:hAnsi="Century Schoolbook" w:cs="Times New Roman"/>
          <w:szCs w:val="24"/>
        </w:rPr>
        <w:t xml:space="preserve"> or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for distinguishing direct from derivative claims, in part because the closely held entity provisions reduce the practical significance of the classification for many disputes. </w:t>
      </w:r>
      <w:bookmarkEnd w:id="38"/>
      <w:r w:rsidRPr="007941DB">
        <w:rPr>
          <w:rFonts w:ascii="Century Schoolbook" w:hAnsi="Century Schoolbook" w:cs="Times New Roman"/>
          <w:szCs w:val="24"/>
        </w:rPr>
        <w:t>Courts have generally held that to recover individually, a stockholder “must prove a personal cause of action and personal injury</w:t>
      </w:r>
      <w:bookmarkEnd w:id="39"/>
      <w:r w:rsidRPr="007941DB">
        <w:rPr>
          <w:rFonts w:ascii="Century Schoolbook" w:hAnsi="Century Schoolbook" w:cs="Times New Roman"/>
          <w:szCs w:val="24"/>
        </w:rPr>
        <w:t>.”</w:t>
      </w:r>
    </w:p>
    <w:p w14:paraId="3036CE42" w14:textId="77777777" w:rsidR="0017108D" w:rsidRPr="007941DB" w:rsidRDefault="00682AC0" w:rsidP="009B5854">
      <w:pPr>
        <w:rPr>
          <w:rFonts w:ascii="Century Schoolbook" w:hAnsi="Century Schoolbook" w:cs="Times New Roman"/>
          <w:i/>
          <w:iCs/>
          <w:szCs w:val="24"/>
          <w:u w:val="single"/>
        </w:rPr>
      </w:pPr>
      <w:r w:rsidRPr="007941DB">
        <w:rPr>
          <w:rFonts w:ascii="Century Schoolbook" w:hAnsi="Century Schoolbook" w:cs="Times New Roman"/>
          <w:i/>
          <w:iCs/>
          <w:szCs w:val="24"/>
          <w:u w:val="single"/>
        </w:rPr>
        <w:t>Wyoming</w:t>
      </w:r>
    </w:p>
    <w:p w14:paraId="06380007" w14:textId="68C55C21" w:rsidR="00620069" w:rsidRPr="007941DB" w:rsidRDefault="00682AC0" w:rsidP="007941DB">
      <w:pPr>
        <w:ind w:firstLine="720"/>
        <w:rPr>
          <w:rFonts w:ascii="Century Schoolbook" w:hAnsi="Century Schoolbook" w:cs="Times New Roman"/>
          <w:szCs w:val="24"/>
        </w:rPr>
      </w:pPr>
      <w:bookmarkStart w:id="40" w:name="cite-58523c0b-447c-4d61-a66a-a1d4f49cab0"/>
      <w:r w:rsidRPr="007941DB">
        <w:rPr>
          <w:rFonts w:ascii="Century Schoolbook" w:hAnsi="Century Schoolbook" w:cs="Times New Roman"/>
          <w:szCs w:val="24"/>
        </w:rPr>
        <w:t xml:space="preserve">Wyoming has adopted a </w:t>
      </w:r>
      <w:proofErr w:type="gramStart"/>
      <w:r w:rsidRPr="007941DB">
        <w:rPr>
          <w:rFonts w:ascii="Century Schoolbook" w:hAnsi="Century Schoolbook" w:cs="Times New Roman"/>
          <w:szCs w:val="24"/>
        </w:rPr>
        <w:t>direct action</w:t>
      </w:r>
      <w:proofErr w:type="gramEnd"/>
      <w:r w:rsidRPr="007941DB">
        <w:rPr>
          <w:rFonts w:ascii="Century Schoolbook" w:hAnsi="Century Schoolbook" w:cs="Times New Roman"/>
          <w:szCs w:val="24"/>
        </w:rPr>
        <w:t xml:space="preserve"> statute for LLCs that closely tracks the Revised Uniform LLC Act that served as the model for Florida’s RLLCA. Wyoming Statute § 17-29-901 provides that a member may maintain a direct action against another member, a manager, or the LLC, and must “plead and prove an actual or threatened injury that is not solely the result of an injury suffered or threatened to be suffered by the limited liability company.” This is a single-prong test, substantively identical to § 605.0801(2)(a).</w:t>
      </w:r>
      <w:r>
        <w:rPr>
          <w:rStyle w:val="FootnoteReference"/>
          <w:rFonts w:ascii="Century Schoolbook" w:hAnsi="Century Schoolbook" w:cs="Times New Roman"/>
          <w:szCs w:val="24"/>
        </w:rPr>
        <w:footnoteReference w:id="4"/>
      </w:r>
      <w:r w:rsidRPr="007941DB">
        <w:rPr>
          <w:rFonts w:ascii="Century Schoolbook" w:hAnsi="Century Schoolbook" w:cs="Times New Roman"/>
          <w:szCs w:val="24"/>
        </w:rPr>
        <w:t xml:space="preserve"> For corporations, the Wyoming Business Corporation Act does not have a specific direct-claims statute. Instead, direct claims are determined by common law and specific statutory provisions creating individual shareholder rights.</w:t>
      </w:r>
      <w:bookmarkEnd w:id="40"/>
    </w:p>
    <w:p w14:paraId="512B1DAE" w14:textId="77777777" w:rsidR="00A96954" w:rsidRPr="002D476A" w:rsidRDefault="00682AC0" w:rsidP="002D476A">
      <w:pPr>
        <w:jc w:val="center"/>
        <w:rPr>
          <w:rFonts w:ascii="Century Schoolbook" w:hAnsi="Century Schoolbook" w:cs="Times New Roman"/>
          <w:b/>
          <w:bCs/>
          <w:caps/>
          <w:szCs w:val="24"/>
          <w:u w:val="single"/>
        </w:rPr>
      </w:pPr>
      <w:r w:rsidRPr="002D476A">
        <w:rPr>
          <w:rFonts w:ascii="Century Schoolbook" w:hAnsi="Century Schoolbook" w:cs="Times New Roman"/>
          <w:b/>
          <w:bCs/>
          <w:caps/>
          <w:szCs w:val="24"/>
          <w:u w:val="single"/>
        </w:rPr>
        <w:t>Discussion</w:t>
      </w:r>
    </w:p>
    <w:p w14:paraId="12153A66" w14:textId="1CBCEDE3" w:rsidR="00E373FC" w:rsidRPr="00E373FC" w:rsidRDefault="00682AC0" w:rsidP="009B5854">
      <w:pPr>
        <w:rPr>
          <w:rFonts w:ascii="Century Schoolbook" w:hAnsi="Century Schoolbook" w:cs="Times New Roman"/>
          <w:i/>
          <w:iCs/>
          <w:szCs w:val="24"/>
          <w:u w:val="single"/>
        </w:rPr>
      </w:pPr>
      <w:r w:rsidRPr="00E373FC">
        <w:rPr>
          <w:rFonts w:ascii="Century Schoolbook" w:hAnsi="Century Schoolbook" w:cs="Times New Roman"/>
          <w:i/>
          <w:iCs/>
          <w:szCs w:val="24"/>
          <w:u w:val="single"/>
        </w:rPr>
        <w:t>Objectives of the Amendments</w:t>
      </w:r>
    </w:p>
    <w:p w14:paraId="04A05E23" w14:textId="7C97B6E6" w:rsidR="00620069" w:rsidRDefault="00682AC0" w:rsidP="00836426">
      <w:pPr>
        <w:ind w:firstLine="720"/>
        <w:rPr>
          <w:rFonts w:ascii="Century Schoolbook" w:hAnsi="Century Schoolbook" w:cs="Times New Roman"/>
          <w:szCs w:val="24"/>
        </w:rPr>
      </w:pPr>
      <w:r w:rsidRPr="007941DB">
        <w:rPr>
          <w:rFonts w:ascii="Century Schoolbook" w:hAnsi="Century Schoolbook" w:cs="Times New Roman"/>
          <w:szCs w:val="24"/>
        </w:rPr>
        <w:t>The proposed amendments to Sections 605.0801</w:t>
      </w:r>
      <w:r>
        <w:rPr>
          <w:rFonts w:ascii="Century Schoolbook" w:hAnsi="Century Schoolbook" w:cs="Times New Roman"/>
          <w:szCs w:val="24"/>
        </w:rPr>
        <w:t xml:space="preserve">, 605.0802, 607.0742, </w:t>
      </w:r>
      <w:r w:rsidRPr="007941DB">
        <w:rPr>
          <w:rFonts w:ascii="Century Schoolbook" w:hAnsi="Century Schoolbook" w:cs="Times New Roman"/>
          <w:szCs w:val="24"/>
        </w:rPr>
        <w:t>607.0750</w:t>
      </w:r>
      <w:r>
        <w:rPr>
          <w:rFonts w:ascii="Century Schoolbook" w:hAnsi="Century Schoolbook" w:cs="Times New Roman"/>
          <w:szCs w:val="24"/>
        </w:rPr>
        <w:t xml:space="preserve">, 620.2001, and 620.2002 </w:t>
      </w:r>
      <w:r w:rsidRPr="007941DB">
        <w:rPr>
          <w:rFonts w:ascii="Century Schoolbook" w:hAnsi="Century Schoolbook" w:cs="Times New Roman"/>
          <w:szCs w:val="24"/>
        </w:rPr>
        <w:t xml:space="preserve">seek to eliminate the conflict between the judicially created </w:t>
      </w:r>
      <w:proofErr w:type="spellStart"/>
      <w:r w:rsidRPr="007941DB">
        <w:rPr>
          <w:rFonts w:ascii="Century Schoolbook" w:hAnsi="Century Schoolbook" w:cs="Times New Roman"/>
          <w:i/>
          <w:iCs/>
          <w:szCs w:val="24"/>
        </w:rPr>
        <w:t>Dinuro</w:t>
      </w:r>
      <w:proofErr w:type="spellEnd"/>
      <w:r w:rsidRPr="00620069">
        <w:rPr>
          <w:rFonts w:ascii="Century Schoolbook" w:hAnsi="Century Schoolbook" w:cs="Times New Roman"/>
          <w:szCs w:val="24"/>
        </w:rPr>
        <w:t xml:space="preserve"> </w:t>
      </w:r>
      <w:r w:rsidRPr="007941DB">
        <w:rPr>
          <w:rFonts w:ascii="Century Schoolbook" w:hAnsi="Century Schoolbook" w:cs="Times New Roman"/>
          <w:szCs w:val="24"/>
        </w:rPr>
        <w:t xml:space="preserve">test and the statutes. The </w:t>
      </w:r>
      <w:r>
        <w:rPr>
          <w:rFonts w:ascii="Century Schoolbook" w:hAnsi="Century Schoolbook" w:cs="Times New Roman"/>
          <w:szCs w:val="24"/>
        </w:rPr>
        <w:t>a</w:t>
      </w:r>
      <w:r w:rsidRPr="007941DB">
        <w:rPr>
          <w:rFonts w:ascii="Century Schoolbook" w:hAnsi="Century Schoolbook" w:cs="Times New Roman"/>
          <w:szCs w:val="24"/>
        </w:rPr>
        <w:t xml:space="preserve">mendments also seek to authorize the joining of direct and derivative actions in a single </w:t>
      </w:r>
      <w:r w:rsidR="00D36939">
        <w:rPr>
          <w:rFonts w:ascii="Century Schoolbook" w:hAnsi="Century Schoolbook" w:cs="Times New Roman"/>
          <w:szCs w:val="24"/>
        </w:rPr>
        <w:t>proceeding</w:t>
      </w:r>
      <w:r>
        <w:rPr>
          <w:rFonts w:ascii="Century Schoolbook" w:hAnsi="Century Schoolbook" w:cs="Times New Roman"/>
          <w:szCs w:val="24"/>
        </w:rPr>
        <w:t xml:space="preserve"> in select circumstances</w:t>
      </w:r>
      <w:r w:rsidRPr="007941DB">
        <w:rPr>
          <w:rFonts w:ascii="Century Schoolbook" w:hAnsi="Century Schoolbook" w:cs="Times New Roman"/>
          <w:szCs w:val="24"/>
        </w:rPr>
        <w:t xml:space="preserve">. To accomplish this, the proposed amendments would add language expressly providing </w:t>
      </w:r>
      <w:r>
        <w:rPr>
          <w:rFonts w:ascii="Century Schoolbook" w:hAnsi="Century Schoolbook" w:cs="Times New Roman"/>
          <w:szCs w:val="24"/>
        </w:rPr>
        <w:t>that</w:t>
      </w:r>
      <w:r w:rsidR="00D36939">
        <w:rPr>
          <w:rFonts w:ascii="Century Schoolbook" w:hAnsi="Century Schoolbook" w:cs="Times New Roman"/>
          <w:szCs w:val="24"/>
        </w:rPr>
        <w:t xml:space="preserve">, if the equity owner is not relying on a violation of a separate statutory </w:t>
      </w:r>
      <w:r w:rsidR="00D36939">
        <w:rPr>
          <w:rFonts w:ascii="Century Schoolbook" w:hAnsi="Century Schoolbook" w:cs="Times New Roman"/>
          <w:szCs w:val="24"/>
        </w:rPr>
        <w:lastRenderedPageBreak/>
        <w:t>or contractual duty,</w:t>
      </w:r>
      <w:r>
        <w:rPr>
          <w:rFonts w:ascii="Century Schoolbook" w:hAnsi="Century Schoolbook" w:cs="Times New Roman"/>
          <w:szCs w:val="24"/>
        </w:rPr>
        <w:t xml:space="preserve"> </w:t>
      </w:r>
      <w:r w:rsidRPr="007941DB">
        <w:rPr>
          <w:rFonts w:ascii="Century Schoolbook" w:hAnsi="Century Schoolbook" w:cs="Times New Roman"/>
          <w:szCs w:val="24"/>
        </w:rPr>
        <w:t xml:space="preserve">the one-prong statutory test, </w:t>
      </w:r>
      <w:r w:rsidRPr="007941DB">
        <w:rPr>
          <w:rFonts w:ascii="Century Schoolbook" w:hAnsi="Century Schoolbook" w:cs="Times New Roman"/>
          <w:i/>
          <w:iCs/>
          <w:szCs w:val="24"/>
        </w:rPr>
        <w:t>i.e.</w:t>
      </w:r>
      <w:r w:rsidRPr="007941DB">
        <w:rPr>
          <w:rFonts w:ascii="Century Schoolbook" w:hAnsi="Century Schoolbook" w:cs="Times New Roman"/>
          <w:szCs w:val="24"/>
        </w:rPr>
        <w:t xml:space="preserve">, direct harm, is the exclusive test for </w:t>
      </w:r>
      <w:r w:rsidR="00D36939">
        <w:rPr>
          <w:rFonts w:ascii="Century Schoolbook" w:hAnsi="Century Schoolbook" w:cs="Times New Roman"/>
          <w:szCs w:val="24"/>
        </w:rPr>
        <w:t>maintaining direct actions</w:t>
      </w:r>
      <w:r w:rsidRPr="007941DB">
        <w:rPr>
          <w:rFonts w:ascii="Century Schoolbook" w:hAnsi="Century Schoolbook" w:cs="Times New Roman"/>
          <w:szCs w:val="24"/>
        </w:rPr>
        <w:t xml:space="preserve"> in Florida and that no additional common law or judicially created requirements, including the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two-prong test, may be imposed. The amendments would not alter nor remove the contractual or statutory duty </w:t>
      </w:r>
      <w:r w:rsidR="00062D44">
        <w:rPr>
          <w:rFonts w:ascii="Century Schoolbook" w:hAnsi="Century Schoolbook" w:cs="Times New Roman"/>
          <w:szCs w:val="24"/>
        </w:rPr>
        <w:t>alternative for maintaining a direct action but would clarify that such alternative does not require a showing of special injury</w:t>
      </w:r>
      <w:r w:rsidRPr="007941DB">
        <w:rPr>
          <w:rFonts w:ascii="Century Schoolbook" w:hAnsi="Century Schoolbook" w:cs="Times New Roman"/>
          <w:szCs w:val="24"/>
        </w:rPr>
        <w:t xml:space="preserve">. The amendments would simply </w:t>
      </w:r>
      <w:r w:rsidR="00405F93">
        <w:rPr>
          <w:rFonts w:ascii="Century Schoolbook" w:hAnsi="Century Schoolbook" w:cs="Times New Roman"/>
          <w:szCs w:val="24"/>
        </w:rPr>
        <w:t xml:space="preserve">affirm </w:t>
      </w:r>
      <w:r w:rsidRPr="007941DB">
        <w:rPr>
          <w:rFonts w:ascii="Century Schoolbook" w:hAnsi="Century Schoolbook" w:cs="Times New Roman"/>
          <w:szCs w:val="24"/>
        </w:rPr>
        <w:t>that the standard already enacted by the Legislature is the one courts must apply.</w:t>
      </w:r>
    </w:p>
    <w:p w14:paraId="473BE2A0" w14:textId="0491DCAE" w:rsidR="00620069" w:rsidRDefault="00682AC0" w:rsidP="00E373FC">
      <w:pPr>
        <w:ind w:firstLine="720"/>
        <w:rPr>
          <w:rFonts w:ascii="Century Schoolbook" w:hAnsi="Century Schoolbook" w:cs="Times New Roman"/>
          <w:szCs w:val="24"/>
        </w:rPr>
      </w:pPr>
      <w:bookmarkStart w:id="41" w:name="cite-1e998fd3-7903-4678-84f9-b06be74f070"/>
      <w:bookmarkStart w:id="42" w:name="cite-6264fd25-7e25-4702-b4d5-247dc815f91"/>
      <w:r w:rsidRPr="007941DB">
        <w:rPr>
          <w:rFonts w:ascii="Century Schoolbook" w:hAnsi="Century Schoolbook" w:cs="Times New Roman"/>
          <w:szCs w:val="24"/>
        </w:rPr>
        <w:t xml:space="preserve">In practical terms, the amendments would maintain the first prong of the </w:t>
      </w:r>
      <w:proofErr w:type="spellStart"/>
      <w:r w:rsidRPr="007941DB">
        <w:rPr>
          <w:rFonts w:ascii="Century Schoolbook" w:hAnsi="Century Schoolbook" w:cs="Times New Roman"/>
          <w:i/>
          <w:iCs/>
          <w:szCs w:val="24"/>
        </w:rPr>
        <w:t>Dinuro</w:t>
      </w:r>
      <w:proofErr w:type="spellEnd"/>
      <w:r w:rsidRPr="00620069">
        <w:rPr>
          <w:rFonts w:ascii="Century Schoolbook" w:hAnsi="Century Schoolbook" w:cs="Times New Roman"/>
          <w:szCs w:val="24"/>
        </w:rPr>
        <w:t xml:space="preserve"> </w:t>
      </w:r>
      <w:r w:rsidRPr="007941DB">
        <w:rPr>
          <w:rFonts w:ascii="Century Schoolbook" w:hAnsi="Century Schoolbook" w:cs="Times New Roman"/>
          <w:szCs w:val="24"/>
        </w:rPr>
        <w:t>test, as that prong is already in the statute</w:t>
      </w:r>
      <w:r>
        <w:rPr>
          <w:rFonts w:ascii="Century Schoolbook" w:hAnsi="Century Schoolbook" w:cs="Times New Roman"/>
          <w:szCs w:val="24"/>
        </w:rPr>
        <w:t>. The proposed amendment</w:t>
      </w:r>
      <w:r w:rsidRPr="007941DB">
        <w:rPr>
          <w:rFonts w:ascii="Century Schoolbook" w:hAnsi="Century Schoolbook" w:cs="Times New Roman"/>
          <w:szCs w:val="24"/>
        </w:rPr>
        <w:t>s</w:t>
      </w:r>
      <w:r>
        <w:rPr>
          <w:rFonts w:ascii="Century Schoolbook" w:hAnsi="Century Schoolbook" w:cs="Times New Roman"/>
          <w:szCs w:val="24"/>
        </w:rPr>
        <w:t>, by including additional and express language,</w:t>
      </w:r>
      <w:r w:rsidRPr="007941DB">
        <w:rPr>
          <w:rFonts w:ascii="Century Schoolbook" w:hAnsi="Century Schoolbook" w:cs="Times New Roman"/>
          <w:szCs w:val="24"/>
        </w:rPr>
        <w:t xml:space="preserve"> would</w:t>
      </w:r>
      <w:r>
        <w:rPr>
          <w:rFonts w:ascii="Century Schoolbook" w:hAnsi="Century Schoolbook" w:cs="Times New Roman"/>
          <w:szCs w:val="24"/>
        </w:rPr>
        <w:t xml:space="preserve"> remove the </w:t>
      </w:r>
      <w:r w:rsidRPr="007941DB">
        <w:rPr>
          <w:rFonts w:ascii="Century Schoolbook" w:hAnsi="Century Schoolbook" w:cs="Times New Roman"/>
          <w:szCs w:val="24"/>
        </w:rPr>
        <w:t xml:space="preserve">second prong of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that requires the plaintiff to show a “special injury” that is “separate and distinct” from those of other owners.</w:t>
      </w:r>
      <w:bookmarkEnd w:id="41"/>
      <w:bookmarkEnd w:id="42"/>
      <w:r w:rsidRPr="007941DB">
        <w:rPr>
          <w:rFonts w:ascii="Century Schoolbook" w:hAnsi="Century Schoolbook" w:cs="Times New Roman"/>
          <w:szCs w:val="24"/>
        </w:rPr>
        <w:t xml:space="preserve"> The proposed amendments would also eliminate the analysis set forth in </w:t>
      </w:r>
      <w:r>
        <w:rPr>
          <w:rFonts w:ascii="Century Schoolbook" w:hAnsi="Century Schoolbook" w:cs="Times New Roman"/>
          <w:i/>
          <w:iCs/>
          <w:szCs w:val="24"/>
        </w:rPr>
        <w:t>DiSorbo</w:t>
      </w:r>
      <w:r w:rsidRPr="007941DB">
        <w:rPr>
          <w:rFonts w:ascii="Century Schoolbook" w:hAnsi="Century Schoolbook" w:cs="Times New Roman"/>
          <w:szCs w:val="24"/>
        </w:rPr>
        <w:t xml:space="preserve"> that holds direct and derivative claims cannot be joined in a single </w:t>
      </w:r>
      <w:proofErr w:type="gramStart"/>
      <w:r w:rsidRPr="007941DB">
        <w:rPr>
          <w:rFonts w:ascii="Century Schoolbook" w:hAnsi="Century Schoolbook" w:cs="Times New Roman"/>
          <w:szCs w:val="24"/>
        </w:rPr>
        <w:t>action</w:t>
      </w:r>
      <w:r>
        <w:rPr>
          <w:rFonts w:ascii="Century Schoolbook" w:hAnsi="Century Schoolbook" w:cs="Times New Roman"/>
          <w:szCs w:val="24"/>
        </w:rPr>
        <w:t>, and</w:t>
      </w:r>
      <w:proofErr w:type="gramEnd"/>
      <w:r>
        <w:rPr>
          <w:rFonts w:ascii="Century Schoolbook" w:hAnsi="Century Schoolbook" w:cs="Times New Roman"/>
          <w:szCs w:val="24"/>
        </w:rPr>
        <w:t xml:space="preserve"> would affirmatively bestow on plaintiffs the right to bring direct and derivative claims in a single action when the claims involve a common question of law or fact.</w:t>
      </w:r>
    </w:p>
    <w:p w14:paraId="217E2700" w14:textId="081D1A1A" w:rsidR="00620069" w:rsidRPr="007941DB" w:rsidRDefault="00682AC0" w:rsidP="00E373FC">
      <w:pPr>
        <w:ind w:firstLine="720"/>
        <w:rPr>
          <w:rFonts w:ascii="Century Schoolbook" w:hAnsi="Century Schoolbook" w:cs="Times New Roman"/>
          <w:szCs w:val="24"/>
        </w:rPr>
      </w:pPr>
      <w:bookmarkStart w:id="43" w:name="cite-975ca3ca-8838-4d56-bcf9-01f11e3d10f"/>
      <w:bookmarkStart w:id="44" w:name="cite-1c22f741-b094-4a94-85df-f335e7f2ec1"/>
      <w:bookmarkStart w:id="45" w:name="cite-3679e83f-76de-4903-be8a-c13b96188c8"/>
      <w:r w:rsidRPr="007941DB">
        <w:rPr>
          <w:rFonts w:ascii="Century Schoolbook" w:hAnsi="Century Schoolbook" w:cs="Times New Roman"/>
          <w:szCs w:val="24"/>
        </w:rPr>
        <w:t>The proposed amendments would not alter the standards or procedures applicable to derivative actions. The RLLCA’s derivative action provisions (§§ 605.0802–605.0806) and the FBCA</w:t>
      </w:r>
      <w:r w:rsidR="00F16F90">
        <w:rPr>
          <w:rFonts w:ascii="Century Schoolbook" w:hAnsi="Century Schoolbook" w:cs="Times New Roman"/>
          <w:szCs w:val="24"/>
        </w:rPr>
        <w:t>’</w:t>
      </w:r>
      <w:r w:rsidRPr="007941DB">
        <w:rPr>
          <w:rFonts w:ascii="Century Schoolbook" w:hAnsi="Century Schoolbook" w:cs="Times New Roman"/>
          <w:szCs w:val="24"/>
        </w:rPr>
        <w:t>s derivative action provisions (§§ 607.0741–607.0747) would remain fully in effect, including the pre</w:t>
      </w:r>
      <w:r w:rsidR="00405F93">
        <w:rPr>
          <w:rFonts w:ascii="Century Schoolbook" w:hAnsi="Century Schoolbook" w:cs="Times New Roman"/>
          <w:szCs w:val="24"/>
        </w:rPr>
        <w:t>-</w:t>
      </w:r>
      <w:r w:rsidRPr="007941DB">
        <w:rPr>
          <w:rFonts w:ascii="Century Schoolbook" w:hAnsi="Century Schoolbook" w:cs="Times New Roman"/>
          <w:szCs w:val="24"/>
        </w:rPr>
        <w:t xml:space="preserve">suit demand requirements, the special litigation committee process, the court-approval requirements for settlement or dismissal, and the rules governing proceeds and expenses. </w:t>
      </w:r>
      <w:bookmarkEnd w:id="43"/>
      <w:bookmarkEnd w:id="44"/>
      <w:bookmarkEnd w:id="45"/>
      <w:r>
        <w:rPr>
          <w:rFonts w:ascii="Century Schoolbook" w:hAnsi="Century Schoolbook" w:cs="Times New Roman"/>
          <w:szCs w:val="24"/>
        </w:rPr>
        <w:t xml:space="preserve">The proposed amendments to portions of those statutes are designed to consistently allow a plaintiff to maintain direct and derivative claims in the same </w:t>
      </w:r>
      <w:r w:rsidR="00A834AF">
        <w:rPr>
          <w:rFonts w:ascii="Century Schoolbook" w:hAnsi="Century Schoolbook" w:cs="Times New Roman"/>
          <w:szCs w:val="24"/>
        </w:rPr>
        <w:t>proceeding.</w:t>
      </w:r>
    </w:p>
    <w:p w14:paraId="5EC737D9" w14:textId="3C68B38E" w:rsidR="005A522C" w:rsidRPr="00E373FC" w:rsidRDefault="00682AC0" w:rsidP="009B5854">
      <w:pPr>
        <w:rPr>
          <w:rFonts w:ascii="Century Schoolbook" w:hAnsi="Century Schoolbook" w:cs="Times New Roman"/>
          <w:i/>
          <w:iCs/>
          <w:szCs w:val="24"/>
          <w:u w:val="single"/>
        </w:rPr>
      </w:pPr>
      <w:r>
        <w:rPr>
          <w:rFonts w:ascii="Century Schoolbook" w:hAnsi="Century Schoolbook" w:cs="Times New Roman"/>
          <w:i/>
          <w:iCs/>
          <w:szCs w:val="24"/>
          <w:u w:val="single"/>
        </w:rPr>
        <w:t xml:space="preserve">Judicial Application of the </w:t>
      </w:r>
      <w:r w:rsidRPr="00E373FC">
        <w:rPr>
          <w:rFonts w:ascii="Century Schoolbook" w:hAnsi="Century Schoolbook" w:cs="Times New Roman"/>
          <w:i/>
          <w:iCs/>
          <w:szCs w:val="24"/>
          <w:u w:val="single"/>
        </w:rPr>
        <w:t>Amendments</w:t>
      </w:r>
    </w:p>
    <w:p w14:paraId="29AA14E8" w14:textId="16397C14" w:rsidR="00620069" w:rsidRDefault="00682AC0" w:rsidP="00FE727A">
      <w:pPr>
        <w:ind w:firstLine="720"/>
        <w:rPr>
          <w:rFonts w:ascii="Century Schoolbook" w:hAnsi="Century Schoolbook" w:cs="Times New Roman"/>
          <w:szCs w:val="24"/>
        </w:rPr>
      </w:pPr>
      <w:r>
        <w:rPr>
          <w:rFonts w:ascii="Century Schoolbook" w:hAnsi="Century Schoolbook" w:cs="Times New Roman"/>
          <w:szCs w:val="24"/>
        </w:rPr>
        <w:t>The proposed amendments, while designed to eliminate the special injury test,</w:t>
      </w:r>
      <w:r w:rsidR="008B711E">
        <w:rPr>
          <w:rFonts w:ascii="Century Schoolbook" w:hAnsi="Century Schoolbook" w:cs="Times New Roman"/>
          <w:szCs w:val="24"/>
        </w:rPr>
        <w:t xml:space="preserve"> and to allow direct and derivative claims to be maintained in a single proceeding,</w:t>
      </w:r>
      <w:r>
        <w:rPr>
          <w:rFonts w:ascii="Century Schoolbook" w:hAnsi="Century Schoolbook" w:cs="Times New Roman"/>
          <w:szCs w:val="24"/>
        </w:rPr>
        <w:t xml:space="preserve"> are designed with judicial economy in mind and are designed to give courts the ability to determine, after sufficient discovery is conducted, whether a claim is direct, derivative, both, or neither. Determining whether a claim is direct or derivative often depends on several factual inquiries that cannot be fully resolved at the pleading stage. By preserving the statutory framework and eliminating the judicially created “special injury” </w:t>
      </w:r>
      <w:proofErr w:type="gramStart"/>
      <w:r>
        <w:rPr>
          <w:rFonts w:ascii="Century Schoolbook" w:hAnsi="Century Schoolbook" w:cs="Times New Roman"/>
          <w:szCs w:val="24"/>
        </w:rPr>
        <w:t>overlay,</w:t>
      </w:r>
      <w:r w:rsidR="0057510A">
        <w:rPr>
          <w:rFonts w:ascii="Century Schoolbook" w:hAnsi="Century Schoolbook" w:cs="Times New Roman"/>
          <w:szCs w:val="24"/>
        </w:rPr>
        <w:t xml:space="preserve"> and</w:t>
      </w:r>
      <w:proofErr w:type="gramEnd"/>
      <w:r w:rsidR="0057510A">
        <w:rPr>
          <w:rFonts w:ascii="Century Schoolbook" w:hAnsi="Century Schoolbook" w:cs="Times New Roman"/>
          <w:szCs w:val="24"/>
        </w:rPr>
        <w:t xml:space="preserve"> allowing direct and derivative claims to be maintained in a single proceeding,</w:t>
      </w:r>
      <w:r>
        <w:rPr>
          <w:rFonts w:ascii="Century Schoolbook" w:hAnsi="Century Schoolbook" w:cs="Times New Roman"/>
          <w:szCs w:val="24"/>
        </w:rPr>
        <w:t xml:space="preserve"> the proposed amendments enable courts to assess the nature of the plaintiff’s injury based on a developed factual record, rather than dismissing claims at the outset under</w:t>
      </w:r>
      <w:r w:rsidR="00654D70">
        <w:rPr>
          <w:rFonts w:ascii="Century Schoolbook" w:hAnsi="Century Schoolbook" w:cs="Times New Roman"/>
          <w:szCs w:val="24"/>
        </w:rPr>
        <w:t xml:space="preserve"> either</w:t>
      </w:r>
      <w:r>
        <w:rPr>
          <w:rFonts w:ascii="Century Schoolbook" w:hAnsi="Century Schoolbook" w:cs="Times New Roman"/>
          <w:szCs w:val="24"/>
        </w:rPr>
        <w:t xml:space="preserve"> </w:t>
      </w:r>
      <w:proofErr w:type="spellStart"/>
      <w:r>
        <w:rPr>
          <w:rFonts w:ascii="Century Schoolbook" w:hAnsi="Century Schoolbook" w:cs="Times New Roman"/>
          <w:i/>
          <w:iCs/>
          <w:szCs w:val="24"/>
        </w:rPr>
        <w:t>Dinuro</w:t>
      </w:r>
      <w:r>
        <w:rPr>
          <w:rFonts w:ascii="Century Schoolbook" w:hAnsi="Century Schoolbook" w:cs="Times New Roman"/>
          <w:szCs w:val="24"/>
        </w:rPr>
        <w:t>’s</w:t>
      </w:r>
      <w:proofErr w:type="spellEnd"/>
      <w:r>
        <w:rPr>
          <w:rFonts w:ascii="Century Schoolbook" w:hAnsi="Century Schoolbook" w:cs="Times New Roman"/>
          <w:szCs w:val="24"/>
        </w:rPr>
        <w:t xml:space="preserve"> more restrictive two-prong test</w:t>
      </w:r>
      <w:r w:rsidR="004C0BFD">
        <w:rPr>
          <w:rFonts w:ascii="Century Schoolbook" w:hAnsi="Century Schoolbook" w:cs="Times New Roman"/>
          <w:szCs w:val="24"/>
        </w:rPr>
        <w:t xml:space="preserve"> or because direct and derivative claims are presented in a single proceeding</w:t>
      </w:r>
      <w:r>
        <w:rPr>
          <w:rFonts w:ascii="Century Schoolbook" w:hAnsi="Century Schoolbook" w:cs="Times New Roman"/>
          <w:szCs w:val="24"/>
        </w:rPr>
        <w:t>.</w:t>
      </w:r>
      <w:r w:rsidR="004C0BFD">
        <w:rPr>
          <w:rFonts w:ascii="Century Schoolbook" w:hAnsi="Century Schoolbook" w:cs="Times New Roman"/>
          <w:szCs w:val="24"/>
        </w:rPr>
        <w:t xml:space="preserve"> In particular, as to pleading, t</w:t>
      </w:r>
      <w:r>
        <w:rPr>
          <w:rFonts w:ascii="Century Schoolbook" w:hAnsi="Century Schoolbook" w:cs="Times New Roman"/>
          <w:szCs w:val="24"/>
        </w:rPr>
        <w:t>his approach is consistent with the text and intent of the existing statutes, which require the plaintiff to “plead and prove” its injury.</w:t>
      </w:r>
    </w:p>
    <w:p w14:paraId="33746036" w14:textId="77777777" w:rsidR="00275DF8" w:rsidRDefault="00682AC0" w:rsidP="009B5854">
      <w:pPr>
        <w:rPr>
          <w:rFonts w:ascii="Century Schoolbook" w:hAnsi="Century Schoolbook" w:cs="Times New Roman"/>
          <w:szCs w:val="24"/>
        </w:rPr>
      </w:pPr>
      <w:r>
        <w:rPr>
          <w:rFonts w:ascii="Century Schoolbook" w:hAnsi="Century Schoolbook" w:cs="Times New Roman"/>
          <w:i/>
          <w:iCs/>
          <w:szCs w:val="24"/>
          <w:u w:val="single"/>
        </w:rPr>
        <w:t>Fee Awards in Derivative Litigation</w:t>
      </w:r>
    </w:p>
    <w:p w14:paraId="2FFA269E" w14:textId="417DB4DE" w:rsidR="00620069" w:rsidRPr="00ED0953" w:rsidRDefault="00682AC0">
      <w:pPr>
        <w:ind w:firstLine="720"/>
        <w:rPr>
          <w:rFonts w:ascii="Century Schoolbook" w:hAnsi="Century Schoolbook" w:cs="Times New Roman"/>
          <w:szCs w:val="24"/>
          <w:highlight w:val="yellow"/>
        </w:rPr>
      </w:pPr>
      <w:r>
        <w:rPr>
          <w:rFonts w:ascii="Century Schoolbook" w:hAnsi="Century Schoolbook" w:cs="Times New Roman"/>
          <w:szCs w:val="24"/>
        </w:rPr>
        <w:lastRenderedPageBreak/>
        <w:t xml:space="preserve">Importantly, nothing in the proposed amendments alters, diminishes, or otherwise adversely affects the existing fee-granting provisions applicable to derivative litigation in the RLLCA and FBCA. Those provisions remain fully operative and unmodified by the proposed statutory changes. The proposed amendments address </w:t>
      </w:r>
      <w:r w:rsidR="00E0714B">
        <w:rPr>
          <w:rFonts w:ascii="Century Schoolbook" w:hAnsi="Century Schoolbook" w:cs="Times New Roman"/>
          <w:szCs w:val="24"/>
        </w:rPr>
        <w:t>the requirements for maintaining direct and derivative claims</w:t>
      </w:r>
      <w:r>
        <w:rPr>
          <w:rFonts w:ascii="Century Schoolbook" w:hAnsi="Century Schoolbook" w:cs="Times New Roman"/>
          <w:szCs w:val="24"/>
        </w:rPr>
        <w:t xml:space="preserve"> and joinder issues only, and plaintiffs pursuing derivative claims will continue to have access to the same fee-recovery mechanisms currently available under Florida law.</w:t>
      </w:r>
    </w:p>
    <w:p w14:paraId="16969DE9" w14:textId="706032B2" w:rsidR="0052099E" w:rsidRDefault="00682AC0" w:rsidP="009B5854">
      <w:pPr>
        <w:rPr>
          <w:rFonts w:ascii="Century Schoolbook" w:hAnsi="Century Schoolbook" w:cs="Times New Roman"/>
          <w:szCs w:val="24"/>
        </w:rPr>
      </w:pPr>
      <w:r>
        <w:rPr>
          <w:rFonts w:ascii="Century Schoolbook" w:hAnsi="Century Schoolbook" w:cs="Times New Roman"/>
          <w:i/>
          <w:iCs/>
          <w:szCs w:val="24"/>
          <w:u w:val="single"/>
        </w:rPr>
        <w:t>Consistency with Florida Rules</w:t>
      </w:r>
      <w:r w:rsidR="007607E8">
        <w:rPr>
          <w:rFonts w:ascii="Century Schoolbook" w:hAnsi="Century Schoolbook" w:cs="Times New Roman"/>
          <w:i/>
          <w:iCs/>
          <w:szCs w:val="24"/>
          <w:u w:val="single"/>
        </w:rPr>
        <w:t xml:space="preserve">, </w:t>
      </w:r>
      <w:r>
        <w:rPr>
          <w:rFonts w:ascii="Century Schoolbook" w:hAnsi="Century Schoolbook" w:cs="Times New Roman"/>
          <w:i/>
          <w:iCs/>
          <w:szCs w:val="24"/>
          <w:u w:val="single"/>
        </w:rPr>
        <w:t>Supreme Court Precedent</w:t>
      </w:r>
      <w:r w:rsidR="007607E8">
        <w:rPr>
          <w:rFonts w:ascii="Century Schoolbook" w:hAnsi="Century Schoolbook" w:cs="Times New Roman"/>
          <w:i/>
          <w:iCs/>
          <w:szCs w:val="24"/>
          <w:u w:val="single"/>
        </w:rPr>
        <w:t>, and Statutory Definitions</w:t>
      </w:r>
      <w:r>
        <w:rPr>
          <w:rFonts w:ascii="Century Schoolbook" w:hAnsi="Century Schoolbook" w:cs="Times New Roman"/>
          <w:i/>
          <w:iCs/>
          <w:szCs w:val="24"/>
          <w:u w:val="single"/>
        </w:rPr>
        <w:t xml:space="preserve"> </w:t>
      </w:r>
    </w:p>
    <w:p w14:paraId="4866B502" w14:textId="0D0F0B3B" w:rsidR="00620069" w:rsidRDefault="00682AC0">
      <w:pPr>
        <w:ind w:firstLine="720"/>
        <w:rPr>
          <w:rFonts w:ascii="Century Schoolbook" w:hAnsi="Century Schoolbook" w:cs="Times New Roman"/>
          <w:szCs w:val="24"/>
        </w:rPr>
      </w:pPr>
      <w:r>
        <w:rPr>
          <w:rFonts w:ascii="Century Schoolbook" w:hAnsi="Century Schoolbook" w:cs="Times New Roman"/>
          <w:szCs w:val="24"/>
        </w:rPr>
        <w:t>The proposed amendments are consistent with Florida Rule</w:t>
      </w:r>
      <w:r w:rsidR="00405F93">
        <w:rPr>
          <w:rFonts w:ascii="Century Schoolbook" w:hAnsi="Century Schoolbook" w:cs="Times New Roman"/>
          <w:szCs w:val="24"/>
        </w:rPr>
        <w:t>s</w:t>
      </w:r>
      <w:r>
        <w:rPr>
          <w:rFonts w:ascii="Century Schoolbook" w:hAnsi="Century Schoolbook" w:cs="Times New Roman"/>
          <w:szCs w:val="24"/>
        </w:rPr>
        <w:t xml:space="preserve"> of Civil Procedure 1.110(g)</w:t>
      </w:r>
      <w:r w:rsidR="00A83A17">
        <w:rPr>
          <w:rFonts w:ascii="Century Schoolbook" w:hAnsi="Century Schoolbook" w:cs="Times New Roman"/>
          <w:szCs w:val="24"/>
        </w:rPr>
        <w:t xml:space="preserve"> and 1.270</w:t>
      </w:r>
      <w:r>
        <w:rPr>
          <w:rFonts w:ascii="Century Schoolbook" w:hAnsi="Century Schoolbook" w:cs="Times New Roman"/>
          <w:szCs w:val="24"/>
        </w:rPr>
        <w:t>, which permit a party to assert multiple claims or causes of action in the same proceeding</w:t>
      </w:r>
      <w:r w:rsidR="00057918">
        <w:rPr>
          <w:rFonts w:ascii="Century Schoolbook" w:hAnsi="Century Schoolbook" w:cs="Times New Roman"/>
          <w:szCs w:val="24"/>
        </w:rPr>
        <w:t xml:space="preserve">, </w:t>
      </w:r>
      <w:r w:rsidR="00A83A17">
        <w:rPr>
          <w:rFonts w:ascii="Century Schoolbook" w:hAnsi="Century Schoolbook" w:cs="Times New Roman"/>
          <w:szCs w:val="24"/>
        </w:rPr>
        <w:t xml:space="preserve">and </w:t>
      </w:r>
      <w:r w:rsidR="00057918">
        <w:rPr>
          <w:rFonts w:ascii="Century Schoolbook" w:hAnsi="Century Schoolbook" w:cs="Times New Roman"/>
          <w:szCs w:val="24"/>
        </w:rPr>
        <w:t xml:space="preserve">permits joinder of claims </w:t>
      </w:r>
      <w:r w:rsidR="00A83A17">
        <w:rPr>
          <w:rFonts w:ascii="Century Schoolbook" w:hAnsi="Century Schoolbook" w:cs="Times New Roman"/>
          <w:szCs w:val="24"/>
        </w:rPr>
        <w:t>when they involve a common question or law or fact.</w:t>
      </w:r>
      <w:r>
        <w:rPr>
          <w:rFonts w:ascii="Century Schoolbook" w:hAnsi="Century Schoolbook" w:cs="Times New Roman"/>
          <w:szCs w:val="24"/>
        </w:rPr>
        <w:t xml:space="preserve"> The proposed amendments operate within this existing procedural framework. Moreover, the Supreme Court of Florida’s decision in </w:t>
      </w:r>
      <w:r>
        <w:rPr>
          <w:rFonts w:ascii="Century Schoolbook" w:hAnsi="Century Schoolbook" w:cs="Times New Roman"/>
          <w:i/>
          <w:iCs/>
          <w:szCs w:val="24"/>
        </w:rPr>
        <w:t>AHCA</w:t>
      </w:r>
      <w:r w:rsidRPr="00620069">
        <w:rPr>
          <w:rFonts w:ascii="Century Schoolbook" w:hAnsi="Century Schoolbook" w:cs="Times New Roman"/>
          <w:szCs w:val="24"/>
        </w:rPr>
        <w:t xml:space="preserve"> </w:t>
      </w:r>
      <w:r>
        <w:rPr>
          <w:rFonts w:ascii="Century Schoolbook" w:hAnsi="Century Schoolbook" w:cs="Times New Roman"/>
          <w:szCs w:val="24"/>
        </w:rPr>
        <w:t xml:space="preserve">makes clear that a statutory joinder provision that is consistent with existing court rules does not infringe on the Court’s rulemaking authority. And as the Court confirmed in </w:t>
      </w:r>
      <w:r>
        <w:rPr>
          <w:rFonts w:ascii="Century Schoolbook" w:hAnsi="Century Schoolbook" w:cs="Times New Roman"/>
          <w:i/>
          <w:iCs/>
          <w:szCs w:val="24"/>
        </w:rPr>
        <w:t>Caple</w:t>
      </w:r>
      <w:r>
        <w:rPr>
          <w:rFonts w:ascii="Century Schoolbook" w:hAnsi="Century Schoolbook" w:cs="Times New Roman"/>
          <w:szCs w:val="24"/>
        </w:rPr>
        <w:t>, procedural provisions that are intertwined with substantive rights created by the Legislature are constitutionally permissible.</w:t>
      </w:r>
    </w:p>
    <w:p w14:paraId="3B348D9D" w14:textId="6F5A014B" w:rsidR="00620069" w:rsidRDefault="00682AC0">
      <w:pPr>
        <w:ind w:firstLine="720"/>
        <w:rPr>
          <w:rFonts w:ascii="Century Schoolbook" w:hAnsi="Century Schoolbook" w:cs="Times New Roman"/>
          <w:szCs w:val="24"/>
        </w:rPr>
      </w:pPr>
      <w:r>
        <w:rPr>
          <w:rFonts w:ascii="Century Schoolbook" w:hAnsi="Century Schoolbook" w:cs="Times New Roman"/>
          <w:szCs w:val="24"/>
        </w:rPr>
        <w:t>Because the proposed amendments create a new substantive right—the right to bring direct and derivative claims together in a single proceeding—and the joinder provision is directly related to the exercise of that right, the amendments fall squarely within the Legislature’s constitutional authority.</w:t>
      </w:r>
    </w:p>
    <w:p w14:paraId="125EC027" w14:textId="1FD78D69" w:rsidR="007607E8" w:rsidRDefault="00324E07" w:rsidP="00065806">
      <w:pPr>
        <w:ind w:firstLine="720"/>
        <w:rPr>
          <w:rFonts w:ascii="Century Schoolbook" w:hAnsi="Century Schoolbook" w:cs="Times New Roman"/>
          <w:szCs w:val="24"/>
        </w:rPr>
      </w:pPr>
      <w:r>
        <w:rPr>
          <w:rFonts w:ascii="Century Schoolbook" w:hAnsi="Century Schoolbook" w:cs="Times New Roman"/>
          <w:szCs w:val="24"/>
        </w:rPr>
        <w:t>T</w:t>
      </w:r>
      <w:r w:rsidR="007607E8">
        <w:rPr>
          <w:rFonts w:ascii="Century Schoolbook" w:hAnsi="Century Schoolbook" w:cs="Times New Roman"/>
          <w:szCs w:val="24"/>
        </w:rPr>
        <w:t xml:space="preserve">he proposed </w:t>
      </w:r>
      <w:r w:rsidR="00D9195F">
        <w:rPr>
          <w:rFonts w:ascii="Century Schoolbook" w:hAnsi="Century Schoolbook" w:cs="Times New Roman"/>
          <w:szCs w:val="24"/>
        </w:rPr>
        <w:t xml:space="preserve">amendments </w:t>
      </w:r>
      <w:r w:rsidR="007607E8">
        <w:rPr>
          <w:rFonts w:ascii="Century Schoolbook" w:hAnsi="Century Schoolbook" w:cs="Times New Roman"/>
          <w:szCs w:val="24"/>
        </w:rPr>
        <w:t xml:space="preserve">to Chapter </w:t>
      </w:r>
      <w:r w:rsidR="00D9195F">
        <w:rPr>
          <w:rFonts w:ascii="Century Schoolbook" w:hAnsi="Century Schoolbook" w:cs="Times New Roman"/>
          <w:szCs w:val="24"/>
        </w:rPr>
        <w:t>607</w:t>
      </w:r>
      <w:r w:rsidR="007607E8">
        <w:rPr>
          <w:rFonts w:ascii="Century Schoolbook" w:hAnsi="Century Schoolbook" w:cs="Times New Roman"/>
          <w:szCs w:val="24"/>
        </w:rPr>
        <w:t>, Florida Statutes</w:t>
      </w:r>
      <w:r w:rsidR="00D9195F">
        <w:rPr>
          <w:rFonts w:ascii="Century Schoolbook" w:hAnsi="Century Schoolbook" w:cs="Times New Roman"/>
          <w:szCs w:val="24"/>
        </w:rPr>
        <w:t xml:space="preserve"> </w:t>
      </w:r>
      <w:r w:rsidR="00FB35EE">
        <w:rPr>
          <w:rFonts w:ascii="Century Schoolbook" w:hAnsi="Century Schoolbook" w:cs="Times New Roman"/>
          <w:szCs w:val="24"/>
        </w:rPr>
        <w:t xml:space="preserve">also </w:t>
      </w:r>
      <w:r w:rsidR="00D9195F">
        <w:rPr>
          <w:rFonts w:ascii="Century Schoolbook" w:hAnsi="Century Schoolbook" w:cs="Times New Roman"/>
          <w:szCs w:val="24"/>
        </w:rPr>
        <w:t>aim to promote consistency in the FBCA and its defined terms.  Chapter 607 currently uses the terms “</w:t>
      </w:r>
      <w:r w:rsidR="00365CF1">
        <w:rPr>
          <w:rFonts w:ascii="Century Schoolbook" w:hAnsi="Century Schoolbook" w:cs="Times New Roman"/>
          <w:szCs w:val="24"/>
        </w:rPr>
        <w:t xml:space="preserve">derivative </w:t>
      </w:r>
      <w:r w:rsidR="00D9195F">
        <w:rPr>
          <w:rFonts w:ascii="Century Schoolbook" w:hAnsi="Century Schoolbook" w:cs="Times New Roman"/>
          <w:szCs w:val="24"/>
        </w:rPr>
        <w:t>action</w:t>
      </w:r>
      <w:r w:rsidR="00365CF1">
        <w:rPr>
          <w:rFonts w:ascii="Century Schoolbook" w:hAnsi="Century Schoolbook" w:cs="Times New Roman"/>
          <w:szCs w:val="24"/>
        </w:rPr>
        <w:t>,</w:t>
      </w:r>
      <w:r w:rsidR="00D9195F">
        <w:rPr>
          <w:rFonts w:ascii="Century Schoolbook" w:hAnsi="Century Schoolbook" w:cs="Times New Roman"/>
          <w:szCs w:val="24"/>
        </w:rPr>
        <w:t>”</w:t>
      </w:r>
      <w:r w:rsidR="00365CF1">
        <w:rPr>
          <w:rFonts w:ascii="Century Schoolbook" w:hAnsi="Century Schoolbook" w:cs="Times New Roman"/>
          <w:szCs w:val="24"/>
        </w:rPr>
        <w:t xml:space="preserve"> “derivative proceeding,” and “derivative suit”</w:t>
      </w:r>
      <w:r w:rsidR="00D9195F">
        <w:rPr>
          <w:rFonts w:ascii="Century Schoolbook" w:hAnsi="Century Schoolbook" w:cs="Times New Roman"/>
          <w:szCs w:val="24"/>
        </w:rPr>
        <w:t xml:space="preserve"> interchangeably. </w:t>
      </w:r>
      <w:r w:rsidR="00D9195F">
        <w:rPr>
          <w:rFonts w:ascii="Century Schoolbook" w:hAnsi="Century Schoolbook" w:cs="Times New Roman"/>
          <w:i/>
          <w:iCs/>
          <w:szCs w:val="24"/>
        </w:rPr>
        <w:t>See</w:t>
      </w:r>
      <w:r w:rsidR="00087085">
        <w:rPr>
          <w:rFonts w:ascii="Century Schoolbook" w:hAnsi="Century Schoolbook" w:cs="Times New Roman"/>
          <w:i/>
          <w:iCs/>
          <w:szCs w:val="24"/>
        </w:rPr>
        <w:t>, e.g.</w:t>
      </w:r>
      <w:r w:rsidR="00087085">
        <w:rPr>
          <w:rFonts w:ascii="Century Schoolbook" w:hAnsi="Century Schoolbook" w:cs="Times New Roman"/>
          <w:szCs w:val="24"/>
        </w:rPr>
        <w:t>,</w:t>
      </w:r>
      <w:r w:rsidR="00A27F0E">
        <w:rPr>
          <w:rFonts w:ascii="Century Schoolbook" w:hAnsi="Century Schoolbook" w:cs="Times New Roman"/>
          <w:i/>
          <w:iCs/>
          <w:szCs w:val="24"/>
        </w:rPr>
        <w:t xml:space="preserve"> </w:t>
      </w:r>
      <w:r w:rsidR="00A27F0E">
        <w:rPr>
          <w:rFonts w:ascii="Century Schoolbook" w:hAnsi="Century Schoolbook" w:cs="Times New Roman"/>
          <w:szCs w:val="24"/>
        </w:rPr>
        <w:t>§ 607.0208(4)(b)</w:t>
      </w:r>
      <w:r w:rsidR="00087085">
        <w:rPr>
          <w:rFonts w:ascii="Century Schoolbook" w:hAnsi="Century Schoolbook" w:cs="Times New Roman"/>
          <w:szCs w:val="24"/>
        </w:rPr>
        <w:t xml:space="preserve"> (“derivative action or proceeding”); </w:t>
      </w:r>
      <w:r w:rsidR="00D9195F">
        <w:rPr>
          <w:rFonts w:ascii="Century Schoolbook" w:hAnsi="Century Schoolbook" w:cs="Times New Roman"/>
          <w:szCs w:val="24"/>
        </w:rPr>
        <w:t>§ 607.0745(1)</w:t>
      </w:r>
      <w:r w:rsidR="00087085">
        <w:rPr>
          <w:rFonts w:ascii="Century Schoolbook" w:hAnsi="Century Schoolbook" w:cs="Times New Roman"/>
          <w:szCs w:val="24"/>
        </w:rPr>
        <w:t xml:space="preserve"> &amp; (2)</w:t>
      </w:r>
      <w:r w:rsidR="00D9195F">
        <w:rPr>
          <w:rFonts w:ascii="Century Schoolbook" w:hAnsi="Century Schoolbook" w:cs="Times New Roman"/>
          <w:szCs w:val="24"/>
        </w:rPr>
        <w:t xml:space="preserve"> (“derivative action”); § </w:t>
      </w:r>
      <w:r w:rsidR="0091178E">
        <w:rPr>
          <w:rFonts w:ascii="Century Schoolbook" w:hAnsi="Century Schoolbook" w:cs="Times New Roman"/>
          <w:szCs w:val="24"/>
        </w:rPr>
        <w:t>607.0831(3)(a) (“[i]n an action other than a derivative suit”)</w:t>
      </w:r>
      <w:r w:rsidR="00D9195F">
        <w:rPr>
          <w:rFonts w:ascii="Century Schoolbook" w:hAnsi="Century Schoolbook" w:cs="Times New Roman"/>
          <w:szCs w:val="24"/>
        </w:rPr>
        <w:t>.</w:t>
      </w:r>
      <w:r w:rsidR="00065806">
        <w:rPr>
          <w:rFonts w:ascii="Century Schoolbook" w:hAnsi="Century Schoolbook" w:cs="Times New Roman"/>
          <w:szCs w:val="24"/>
        </w:rPr>
        <w:t xml:space="preserve"> The Task Force agrees these terms are used interchangeably throughout Chapter 607. Thus, the amendment proposes to add the terms “derivative action” and “derivative suit” to the definition of “derivative proceeding” set forth in Section 607.01401(17). This change will bring uniformity and align with the current use of these terms in Chapter 607.</w:t>
      </w:r>
    </w:p>
    <w:p w14:paraId="2CE62928" w14:textId="75953217" w:rsidR="0059441C" w:rsidRPr="0059441C" w:rsidRDefault="0059441C" w:rsidP="0059441C">
      <w:pPr>
        <w:rPr>
          <w:rFonts w:ascii="Century Schoolbook" w:hAnsi="Century Schoolbook" w:cs="Times New Roman"/>
          <w:i/>
          <w:iCs/>
          <w:szCs w:val="24"/>
          <w:u w:val="single"/>
        </w:rPr>
      </w:pPr>
      <w:r>
        <w:rPr>
          <w:rFonts w:ascii="Century Schoolbook" w:hAnsi="Century Schoolbook" w:cs="Times New Roman"/>
          <w:i/>
          <w:iCs/>
          <w:szCs w:val="24"/>
          <w:u w:val="single"/>
        </w:rPr>
        <w:t>Conclusion as to Direct v. Derivative Actions</w:t>
      </w:r>
    </w:p>
    <w:p w14:paraId="5D353DA5" w14:textId="4498C005" w:rsidR="0059441C" w:rsidRDefault="0059441C" w:rsidP="007E691A">
      <w:pPr>
        <w:ind w:firstLine="720"/>
        <w:rPr>
          <w:rFonts w:ascii="Century Schoolbook" w:hAnsi="Century Schoolbook" w:cs="Times New Roman"/>
          <w:szCs w:val="24"/>
        </w:rPr>
      </w:pPr>
      <w:r w:rsidRPr="007941DB">
        <w:rPr>
          <w:rFonts w:ascii="Century Schoolbook" w:hAnsi="Century Schoolbook" w:cs="Times New Roman"/>
          <w:szCs w:val="24"/>
        </w:rPr>
        <w:t xml:space="preserve">The proposed amendments to Sections </w:t>
      </w:r>
      <w:r>
        <w:rPr>
          <w:rFonts w:ascii="Century Schoolbook" w:hAnsi="Century Schoolbook" w:cs="Times New Roman"/>
          <w:szCs w:val="24"/>
        </w:rPr>
        <w:t>605.0801, 605.0802, 607.0742, 607.0750, 620.2001, and 620.2002, Florida Statutes,</w:t>
      </w:r>
      <w:r w:rsidRPr="007941DB">
        <w:rPr>
          <w:rFonts w:ascii="Century Schoolbook" w:hAnsi="Century Schoolbook" w:cs="Times New Roman"/>
          <w:szCs w:val="24"/>
        </w:rPr>
        <w:t xml:space="preserve"> are narrow, targeted legislative fixes to a conflict between statutory text and judicial precedent. The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test, while a well-intentioned judicial effort to bring structure to direct and derivative litigation, adds a “special injury” test not contained in the statutes and that no other surveyed jurisdiction imposes. The proposed amendments would restore the Legislature’s one-prong test as the exclusive standard for</w:t>
      </w:r>
      <w:r w:rsidR="00157719">
        <w:rPr>
          <w:rFonts w:ascii="Century Schoolbook" w:hAnsi="Century Schoolbook" w:cs="Times New Roman"/>
          <w:szCs w:val="24"/>
        </w:rPr>
        <w:t xml:space="preserve"> maintaining</w:t>
      </w:r>
      <w:r w:rsidRPr="007941DB">
        <w:rPr>
          <w:rFonts w:ascii="Century Schoolbook" w:hAnsi="Century Schoolbook" w:cs="Times New Roman"/>
          <w:szCs w:val="24"/>
        </w:rPr>
        <w:t xml:space="preserve"> direct action</w:t>
      </w:r>
      <w:r w:rsidR="00157719">
        <w:rPr>
          <w:rFonts w:ascii="Century Schoolbook" w:hAnsi="Century Schoolbook" w:cs="Times New Roman"/>
          <w:szCs w:val="24"/>
        </w:rPr>
        <w:t>s</w:t>
      </w:r>
      <w:r w:rsidRPr="007941DB">
        <w:rPr>
          <w:rFonts w:ascii="Century Schoolbook" w:hAnsi="Century Schoolbook" w:cs="Times New Roman"/>
          <w:szCs w:val="24"/>
        </w:rPr>
        <w:t>,</w:t>
      </w:r>
      <w:r w:rsidR="00157719">
        <w:rPr>
          <w:rFonts w:ascii="Century Schoolbook" w:hAnsi="Century Schoolbook" w:cs="Times New Roman"/>
          <w:szCs w:val="24"/>
        </w:rPr>
        <w:t xml:space="preserve"> </w:t>
      </w:r>
      <w:r w:rsidR="00157719">
        <w:rPr>
          <w:rFonts w:ascii="Century Schoolbook" w:hAnsi="Century Schoolbook" w:cs="Times New Roman"/>
          <w:szCs w:val="24"/>
        </w:rPr>
        <w:lastRenderedPageBreak/>
        <w:t>particularly if the equity owner is not relying on a violation of a separate statutory or contractual duty,</w:t>
      </w:r>
      <w:r w:rsidRPr="007941DB">
        <w:rPr>
          <w:rFonts w:ascii="Century Schoolbook" w:hAnsi="Century Schoolbook" w:cs="Times New Roman"/>
          <w:szCs w:val="24"/>
        </w:rPr>
        <w:t xml:space="preserve"> eliminate the confusion and inconsistency generated by the </w:t>
      </w:r>
      <w:proofErr w:type="spellStart"/>
      <w:r w:rsidRPr="007941DB">
        <w:rPr>
          <w:rFonts w:ascii="Century Schoolbook" w:hAnsi="Century Schoolbook" w:cs="Times New Roman"/>
          <w:i/>
          <w:szCs w:val="24"/>
        </w:rPr>
        <w:t>Dinuro</w:t>
      </w:r>
      <w:proofErr w:type="spellEnd"/>
      <w:r w:rsidRPr="007941DB">
        <w:rPr>
          <w:rFonts w:ascii="Century Schoolbook" w:hAnsi="Century Schoolbook" w:cs="Times New Roman"/>
          <w:szCs w:val="24"/>
        </w:rPr>
        <w:t xml:space="preserve"> overlay, and bring Florida into alignment with the Revised Uniform LLC Act and the approach taken by other major commercial jurisdictions—</w:t>
      </w:r>
      <w:r>
        <w:rPr>
          <w:rFonts w:ascii="Century Schoolbook" w:hAnsi="Century Schoolbook" w:cs="Times New Roman"/>
          <w:szCs w:val="24"/>
        </w:rPr>
        <w:t>both of which recognize the Legislature’s authority to include procedural provisions that are intertwined with the substantive rights it creates. At the same time, by creating a statutory right to bring direct and derivative claims in the same proceeding when they involve a common question of law or fact, the proposed amendments would promote judicial economy, reduce duplicative litigation, and provide clarity to parties and counsel.</w:t>
      </w:r>
    </w:p>
    <w:p w14:paraId="6D992AC1" w14:textId="51A99D97" w:rsidR="00CD3AD1" w:rsidRDefault="00CD3AD1" w:rsidP="00CD3AD1">
      <w:pPr>
        <w:rPr>
          <w:rFonts w:ascii="Century Schoolbook" w:hAnsi="Century Schoolbook" w:cs="Times New Roman"/>
          <w:szCs w:val="24"/>
        </w:rPr>
      </w:pPr>
      <w:r>
        <w:rPr>
          <w:rFonts w:ascii="Century Schoolbook" w:hAnsi="Century Schoolbook" w:cs="Times New Roman"/>
          <w:i/>
          <w:iCs/>
          <w:szCs w:val="24"/>
          <w:u w:val="single"/>
        </w:rPr>
        <w:t xml:space="preserve">Glitch and Other Changes With Respect to </w:t>
      </w:r>
      <w:r w:rsidR="003A508F">
        <w:rPr>
          <w:rFonts w:ascii="Century Schoolbook" w:hAnsi="Century Schoolbook" w:cs="Times New Roman"/>
          <w:i/>
          <w:iCs/>
          <w:szCs w:val="24"/>
          <w:u w:val="single"/>
        </w:rPr>
        <w:t>the Uniform Protected Series Provisions</w:t>
      </w:r>
      <w:r w:rsidR="004D2AA2" w:rsidRPr="0042752D">
        <w:rPr>
          <w:rStyle w:val="FootnoteReference"/>
          <w:rFonts w:ascii="Century Schoolbook" w:hAnsi="Century Schoolbook" w:cs="Times New Roman"/>
          <w:i/>
          <w:iCs/>
          <w:szCs w:val="24"/>
        </w:rPr>
        <w:footnoteReference w:id="5"/>
      </w:r>
    </w:p>
    <w:p w14:paraId="07A8EEED" w14:textId="1BD3598C" w:rsidR="00732804" w:rsidRDefault="00CD3AD1" w:rsidP="00732804">
      <w:pPr>
        <w:ind w:firstLine="720"/>
        <w:rPr>
          <w:rFonts w:ascii="Century Schoolbook" w:hAnsi="Century Schoolbook" w:cs="Times New Roman"/>
          <w:szCs w:val="24"/>
        </w:rPr>
      </w:pPr>
      <w:r>
        <w:rPr>
          <w:rFonts w:ascii="Century Schoolbook" w:hAnsi="Century Schoolbook" w:cs="Times New Roman"/>
          <w:szCs w:val="24"/>
        </w:rPr>
        <w:t>During</w:t>
      </w:r>
      <w:r w:rsidRPr="00CD3AD1">
        <w:rPr>
          <w:rFonts w:ascii="Century Schoolbook" w:hAnsi="Century Schoolbook" w:cs="Times New Roman"/>
          <w:szCs w:val="24"/>
        </w:rPr>
        <w:t xml:space="preserve"> the 2025 Florida Legislative Session, a bill was presented to the Florida </w:t>
      </w:r>
      <w:r>
        <w:rPr>
          <w:rFonts w:ascii="Century Schoolbook" w:hAnsi="Century Schoolbook" w:cs="Times New Roman"/>
          <w:szCs w:val="24"/>
        </w:rPr>
        <w:t>L</w:t>
      </w:r>
      <w:r w:rsidRPr="00CD3AD1">
        <w:rPr>
          <w:rFonts w:ascii="Century Schoolbook" w:hAnsi="Century Schoolbook" w:cs="Times New Roman"/>
          <w:szCs w:val="24"/>
        </w:rPr>
        <w:t xml:space="preserve">egislature to add </w:t>
      </w:r>
      <w:r w:rsidR="000057DC">
        <w:rPr>
          <w:rFonts w:ascii="Century Schoolbook" w:hAnsi="Century Schoolbook" w:cs="Times New Roman"/>
          <w:szCs w:val="24"/>
        </w:rPr>
        <w:t>the Uniform Protected Series Provisions</w:t>
      </w:r>
      <w:r w:rsidRPr="00CD3AD1">
        <w:rPr>
          <w:rFonts w:ascii="Century Schoolbook" w:hAnsi="Century Schoolbook" w:cs="Times New Roman"/>
          <w:szCs w:val="24"/>
        </w:rPr>
        <w:t xml:space="preserve"> to the </w:t>
      </w:r>
      <w:r>
        <w:rPr>
          <w:rFonts w:ascii="Century Schoolbook" w:hAnsi="Century Schoolbook" w:cs="Times New Roman"/>
          <w:szCs w:val="24"/>
        </w:rPr>
        <w:t>RLLCA.</w:t>
      </w:r>
      <w:r w:rsidR="00732804">
        <w:rPr>
          <w:rFonts w:ascii="Century Schoolbook" w:hAnsi="Century Schoolbook" w:cs="Times New Roman"/>
          <w:szCs w:val="24"/>
        </w:rPr>
        <w:t xml:space="preserve"> </w:t>
      </w:r>
      <w:r w:rsidRPr="00CD3AD1">
        <w:rPr>
          <w:rFonts w:ascii="Century Schoolbook" w:hAnsi="Century Schoolbook" w:cs="Times New Roman"/>
          <w:szCs w:val="24"/>
        </w:rPr>
        <w:t xml:space="preserve">The bill passed the Florida Senate on April 3, </w:t>
      </w:r>
      <w:proofErr w:type="gramStart"/>
      <w:r w:rsidRPr="00CD3AD1">
        <w:rPr>
          <w:rFonts w:ascii="Century Schoolbook" w:hAnsi="Century Schoolbook" w:cs="Times New Roman"/>
          <w:szCs w:val="24"/>
        </w:rPr>
        <w:t>2025</w:t>
      </w:r>
      <w:proofErr w:type="gramEnd"/>
      <w:r w:rsidRPr="00CD3AD1">
        <w:rPr>
          <w:rFonts w:ascii="Century Schoolbook" w:hAnsi="Century Schoolbook" w:cs="Times New Roman"/>
          <w:szCs w:val="24"/>
        </w:rPr>
        <w:t xml:space="preserve"> and the Florida House of Representatives on April 29, 2025. It was signed by Governor DeSantis on June 20, 2025</w:t>
      </w:r>
      <w:r w:rsidR="00732804">
        <w:rPr>
          <w:rFonts w:ascii="Century Schoolbook" w:hAnsi="Century Schoolbook" w:cs="Times New Roman"/>
          <w:szCs w:val="24"/>
        </w:rPr>
        <w:t>,</w:t>
      </w:r>
      <w:r w:rsidRPr="00CD3AD1">
        <w:rPr>
          <w:rFonts w:ascii="Century Schoolbook" w:hAnsi="Century Schoolbook" w:cs="Times New Roman"/>
          <w:szCs w:val="24"/>
        </w:rPr>
        <w:t xml:space="preserve"> and became effective as of July 1, 2026. The</w:t>
      </w:r>
      <w:r w:rsidR="003A508F">
        <w:rPr>
          <w:rFonts w:ascii="Century Schoolbook" w:hAnsi="Century Schoolbook" w:cs="Times New Roman"/>
          <w:szCs w:val="24"/>
        </w:rPr>
        <w:t xml:space="preserve"> Uniform Protected </w:t>
      </w:r>
      <w:r w:rsidR="00E4637D">
        <w:rPr>
          <w:rFonts w:ascii="Century Schoolbook" w:hAnsi="Century Schoolbook" w:cs="Times New Roman"/>
          <w:szCs w:val="24"/>
        </w:rPr>
        <w:t>Series Provisions</w:t>
      </w:r>
      <w:r w:rsidRPr="00CD3AD1">
        <w:rPr>
          <w:rFonts w:ascii="Century Schoolbook" w:hAnsi="Century Schoolbook" w:cs="Times New Roman"/>
          <w:szCs w:val="24"/>
        </w:rPr>
        <w:t xml:space="preserve"> </w:t>
      </w:r>
      <w:r w:rsidR="00E4637D">
        <w:rPr>
          <w:rFonts w:ascii="Century Schoolbook" w:hAnsi="Century Schoolbook" w:cs="Times New Roman"/>
          <w:szCs w:val="24"/>
        </w:rPr>
        <w:t>h</w:t>
      </w:r>
      <w:r w:rsidRPr="00CD3AD1">
        <w:rPr>
          <w:rFonts w:ascii="Century Schoolbook" w:hAnsi="Century Schoolbook" w:cs="Times New Roman"/>
          <w:szCs w:val="24"/>
        </w:rPr>
        <w:t>a</w:t>
      </w:r>
      <w:r w:rsidR="00E92ADE">
        <w:rPr>
          <w:rFonts w:ascii="Century Schoolbook" w:hAnsi="Century Schoolbook" w:cs="Times New Roman"/>
          <w:szCs w:val="24"/>
        </w:rPr>
        <w:t>ve</w:t>
      </w:r>
      <w:r w:rsidRPr="00CD3AD1">
        <w:rPr>
          <w:rFonts w:ascii="Century Schoolbook" w:hAnsi="Century Schoolbook" w:cs="Times New Roman"/>
          <w:szCs w:val="24"/>
        </w:rPr>
        <w:t xml:space="preserve"> been designated as Laws of Florida, Chapter 2025 -162.</w:t>
      </w:r>
      <w:r w:rsidR="00732804">
        <w:rPr>
          <w:rFonts w:ascii="Century Schoolbook" w:hAnsi="Century Schoolbook" w:cs="Times New Roman"/>
          <w:szCs w:val="24"/>
        </w:rPr>
        <w:t xml:space="preserve"> </w:t>
      </w:r>
      <w:r w:rsidRPr="00CD3AD1">
        <w:rPr>
          <w:rFonts w:ascii="Century Schoolbook" w:hAnsi="Century Schoolbook" w:cs="Times New Roman"/>
          <w:szCs w:val="24"/>
        </w:rPr>
        <w:t xml:space="preserve">In the course of reviewing the </w:t>
      </w:r>
      <w:r w:rsidR="002E5CF5">
        <w:rPr>
          <w:rFonts w:ascii="Century Schoolbook" w:hAnsi="Century Schoolbook" w:cs="Times New Roman"/>
          <w:szCs w:val="24"/>
        </w:rPr>
        <w:t>Uniform Protected Series Provisions</w:t>
      </w:r>
      <w:r w:rsidRPr="00CD3AD1">
        <w:rPr>
          <w:rFonts w:ascii="Century Schoolbook" w:hAnsi="Century Schoolbook" w:cs="Times New Roman"/>
          <w:szCs w:val="24"/>
        </w:rPr>
        <w:t xml:space="preserve"> and coordinating with representatives of the Florida Department of State, Division of Corporations, certain glitches and other advisable changes have been identified.</w:t>
      </w:r>
      <w:r w:rsidR="00732804">
        <w:rPr>
          <w:rFonts w:ascii="Century Schoolbook" w:hAnsi="Century Schoolbook" w:cs="Times New Roman"/>
          <w:szCs w:val="24"/>
        </w:rPr>
        <w:t xml:space="preserve"> </w:t>
      </w:r>
    </w:p>
    <w:p w14:paraId="284C7A6F" w14:textId="49B24933" w:rsidR="00CD3AD1" w:rsidRPr="00D9195F" w:rsidRDefault="00732804" w:rsidP="00065806">
      <w:pPr>
        <w:ind w:firstLine="720"/>
        <w:rPr>
          <w:rFonts w:ascii="Century Schoolbook" w:hAnsi="Century Schoolbook" w:cs="Times New Roman"/>
          <w:szCs w:val="24"/>
        </w:rPr>
      </w:pPr>
      <w:r>
        <w:rPr>
          <w:rFonts w:ascii="Century Schoolbook" w:hAnsi="Century Schoolbook" w:cs="Times New Roman"/>
          <w:szCs w:val="24"/>
        </w:rPr>
        <w:t>S</w:t>
      </w:r>
      <w:r w:rsidR="00497DFB">
        <w:rPr>
          <w:rFonts w:ascii="Century Schoolbook" w:hAnsi="Century Schoolbook" w:cs="Times New Roman"/>
          <w:szCs w:val="24"/>
        </w:rPr>
        <w:t>ection</w:t>
      </w:r>
      <w:r>
        <w:rPr>
          <w:rFonts w:ascii="Century Schoolbook" w:hAnsi="Century Schoolbook" w:cs="Times New Roman"/>
          <w:szCs w:val="24"/>
        </w:rPr>
        <w:t xml:space="preserve"> 605.0102</w:t>
      </w:r>
      <w:r w:rsidR="00497DFB">
        <w:rPr>
          <w:rFonts w:ascii="Century Schoolbook" w:hAnsi="Century Schoolbook" w:cs="Times New Roman"/>
          <w:szCs w:val="24"/>
        </w:rPr>
        <w:t>(45)</w:t>
      </w:r>
      <w:r>
        <w:rPr>
          <w:rFonts w:ascii="Century Schoolbook" w:hAnsi="Century Schoolbook" w:cs="Times New Roman"/>
          <w:szCs w:val="24"/>
        </w:rPr>
        <w:t xml:space="preserve"> presents a definition of an “operating agreement.” It specifically allows an “operating agreement” for a Florida limited liability company to be “oral, implied, in a record, or in any combination thereof.” </w:t>
      </w:r>
      <w:r w:rsidRPr="00732804">
        <w:rPr>
          <w:rFonts w:ascii="Century Schoolbook" w:hAnsi="Century Schoolbook" w:cs="Times New Roman"/>
          <w:szCs w:val="24"/>
        </w:rPr>
        <w:t xml:space="preserve">However, because of the complicated structure presented by a Florida Series </w:t>
      </w:r>
      <w:r>
        <w:rPr>
          <w:rFonts w:ascii="Century Schoolbook" w:hAnsi="Century Schoolbook" w:cs="Times New Roman"/>
          <w:szCs w:val="24"/>
        </w:rPr>
        <w:t>l</w:t>
      </w:r>
      <w:r w:rsidRPr="00732804">
        <w:rPr>
          <w:rFonts w:ascii="Century Schoolbook" w:hAnsi="Century Schoolbook" w:cs="Times New Roman"/>
          <w:szCs w:val="24"/>
        </w:rPr>
        <w:t xml:space="preserve">imited </w:t>
      </w:r>
      <w:r>
        <w:rPr>
          <w:rFonts w:ascii="Century Schoolbook" w:hAnsi="Century Schoolbook" w:cs="Times New Roman"/>
          <w:szCs w:val="24"/>
        </w:rPr>
        <w:t>l</w:t>
      </w:r>
      <w:r w:rsidRPr="00732804">
        <w:rPr>
          <w:rFonts w:ascii="Century Schoolbook" w:hAnsi="Century Schoolbook" w:cs="Times New Roman"/>
          <w:szCs w:val="24"/>
        </w:rPr>
        <w:t xml:space="preserve">iability </w:t>
      </w:r>
      <w:r>
        <w:rPr>
          <w:rFonts w:ascii="Century Schoolbook" w:hAnsi="Century Schoolbook" w:cs="Times New Roman"/>
          <w:szCs w:val="24"/>
        </w:rPr>
        <w:t>c</w:t>
      </w:r>
      <w:r w:rsidRPr="00732804">
        <w:rPr>
          <w:rFonts w:ascii="Century Schoolbook" w:hAnsi="Century Schoolbook" w:cs="Times New Roman"/>
          <w:szCs w:val="24"/>
        </w:rPr>
        <w:t xml:space="preserve">ompany, it is believed that Florida Series </w:t>
      </w:r>
      <w:r w:rsidR="007C335E">
        <w:rPr>
          <w:rFonts w:ascii="Century Schoolbook" w:hAnsi="Century Schoolbook" w:cs="Times New Roman"/>
          <w:szCs w:val="24"/>
        </w:rPr>
        <w:t>l</w:t>
      </w:r>
      <w:r w:rsidRPr="00732804">
        <w:rPr>
          <w:rFonts w:ascii="Century Schoolbook" w:hAnsi="Century Schoolbook" w:cs="Times New Roman"/>
          <w:szCs w:val="24"/>
        </w:rPr>
        <w:t xml:space="preserve">imited </w:t>
      </w:r>
      <w:r w:rsidR="007C335E">
        <w:rPr>
          <w:rFonts w:ascii="Century Schoolbook" w:hAnsi="Century Schoolbook" w:cs="Times New Roman"/>
          <w:szCs w:val="24"/>
        </w:rPr>
        <w:t>l</w:t>
      </w:r>
      <w:r w:rsidRPr="00732804">
        <w:rPr>
          <w:rFonts w:ascii="Century Schoolbook" w:hAnsi="Century Schoolbook" w:cs="Times New Roman"/>
          <w:szCs w:val="24"/>
        </w:rPr>
        <w:t xml:space="preserve">iability </w:t>
      </w:r>
      <w:r w:rsidR="007C335E">
        <w:rPr>
          <w:rFonts w:ascii="Century Schoolbook" w:hAnsi="Century Schoolbook" w:cs="Times New Roman"/>
          <w:szCs w:val="24"/>
        </w:rPr>
        <w:t>c</w:t>
      </w:r>
      <w:r w:rsidRPr="00732804">
        <w:rPr>
          <w:rFonts w:ascii="Century Schoolbook" w:hAnsi="Century Schoolbook" w:cs="Times New Roman"/>
          <w:szCs w:val="24"/>
        </w:rPr>
        <w:t>ompanies should be required to set forth its “operating agreement</w:t>
      </w:r>
      <w:r>
        <w:rPr>
          <w:rFonts w:ascii="Century Schoolbook" w:hAnsi="Century Schoolbook" w:cs="Times New Roman"/>
          <w:szCs w:val="24"/>
        </w:rPr>
        <w:t>”</w:t>
      </w:r>
      <w:r w:rsidRPr="00732804">
        <w:rPr>
          <w:rFonts w:ascii="Century Schoolbook" w:hAnsi="Century Schoolbook" w:cs="Times New Roman"/>
          <w:szCs w:val="24"/>
        </w:rPr>
        <w:t xml:space="preserve"> “in one or more records</w:t>
      </w:r>
      <w:r>
        <w:rPr>
          <w:rFonts w:ascii="Century Schoolbook" w:hAnsi="Century Schoolbook" w:cs="Times New Roman"/>
          <w:szCs w:val="24"/>
        </w:rPr>
        <w:t xml:space="preserve"> or in any combination of records”</w:t>
      </w:r>
      <w:r w:rsidRPr="00732804">
        <w:rPr>
          <w:rFonts w:ascii="Century Schoolbook" w:hAnsi="Century Schoolbook" w:cs="Times New Roman"/>
          <w:szCs w:val="24"/>
        </w:rPr>
        <w:t xml:space="preserve"> and no aspect of </w:t>
      </w:r>
      <w:r>
        <w:rPr>
          <w:rFonts w:ascii="Century Schoolbook" w:hAnsi="Century Schoolbook" w:cs="Times New Roman"/>
          <w:szCs w:val="24"/>
        </w:rPr>
        <w:t>an</w:t>
      </w:r>
      <w:r w:rsidRPr="00732804">
        <w:rPr>
          <w:rFonts w:ascii="Century Schoolbook" w:hAnsi="Century Schoolbook" w:cs="Times New Roman"/>
          <w:szCs w:val="24"/>
        </w:rPr>
        <w:t xml:space="preserve"> operating agreement for a Florida Series limited liability company should be oral or implied.</w:t>
      </w:r>
      <w:r w:rsidR="00981AC0">
        <w:rPr>
          <w:rFonts w:ascii="Century Schoolbook" w:hAnsi="Century Schoolbook" w:cs="Times New Roman"/>
          <w:szCs w:val="24"/>
        </w:rPr>
        <w:t xml:space="preserve"> The proposed amendment to Section 605.0102(45) first makes </w:t>
      </w:r>
      <w:r w:rsidRPr="00732804">
        <w:rPr>
          <w:rFonts w:ascii="Century Schoolbook" w:hAnsi="Century Schoolbook" w:cs="Times New Roman"/>
          <w:szCs w:val="24"/>
        </w:rPr>
        <w:t>it clear that for any Florida limited liability company, the portion of the operating agreement that is reflected in records can be a single record or multiple records and then go</w:t>
      </w:r>
      <w:r w:rsidR="00981AC0">
        <w:rPr>
          <w:rFonts w:ascii="Century Schoolbook" w:hAnsi="Century Schoolbook" w:cs="Times New Roman"/>
          <w:szCs w:val="24"/>
        </w:rPr>
        <w:t>es</w:t>
      </w:r>
      <w:r w:rsidRPr="00732804">
        <w:rPr>
          <w:rFonts w:ascii="Century Schoolbook" w:hAnsi="Century Schoolbook" w:cs="Times New Roman"/>
          <w:szCs w:val="24"/>
        </w:rPr>
        <w:t xml:space="preserve"> on to mandate that the “operating agreement” for a Florida Series </w:t>
      </w:r>
      <w:r w:rsidR="00981AC0">
        <w:rPr>
          <w:rFonts w:ascii="Century Schoolbook" w:hAnsi="Century Schoolbook" w:cs="Times New Roman"/>
          <w:szCs w:val="24"/>
        </w:rPr>
        <w:t>l</w:t>
      </w:r>
      <w:r w:rsidRPr="00732804">
        <w:rPr>
          <w:rFonts w:ascii="Century Schoolbook" w:hAnsi="Century Schoolbook" w:cs="Times New Roman"/>
          <w:szCs w:val="24"/>
        </w:rPr>
        <w:t xml:space="preserve">imited </w:t>
      </w:r>
      <w:r w:rsidR="00981AC0">
        <w:rPr>
          <w:rFonts w:ascii="Century Schoolbook" w:hAnsi="Century Schoolbook" w:cs="Times New Roman"/>
          <w:szCs w:val="24"/>
        </w:rPr>
        <w:t>l</w:t>
      </w:r>
      <w:r w:rsidRPr="00732804">
        <w:rPr>
          <w:rFonts w:ascii="Century Schoolbook" w:hAnsi="Century Schoolbook" w:cs="Times New Roman"/>
          <w:szCs w:val="24"/>
        </w:rPr>
        <w:t>iability</w:t>
      </w:r>
      <w:r w:rsidR="00981AC0">
        <w:rPr>
          <w:rFonts w:ascii="Century Schoolbook" w:hAnsi="Century Schoolbook" w:cs="Times New Roman"/>
          <w:szCs w:val="24"/>
        </w:rPr>
        <w:t xml:space="preserve"> company</w:t>
      </w:r>
      <w:r w:rsidRPr="00732804">
        <w:rPr>
          <w:rFonts w:ascii="Century Schoolbook" w:hAnsi="Century Schoolbook" w:cs="Times New Roman"/>
          <w:szCs w:val="24"/>
        </w:rPr>
        <w:t xml:space="preserve"> must be in one or more records</w:t>
      </w:r>
      <w:r w:rsidR="00981AC0">
        <w:rPr>
          <w:rFonts w:ascii="Century Schoolbook" w:hAnsi="Century Schoolbook" w:cs="Times New Roman"/>
          <w:szCs w:val="24"/>
        </w:rPr>
        <w:t xml:space="preserve"> or in any combination of records</w:t>
      </w:r>
      <w:r w:rsidRPr="00732804">
        <w:rPr>
          <w:rFonts w:ascii="Century Schoolbook" w:hAnsi="Century Schoolbook" w:cs="Times New Roman"/>
          <w:szCs w:val="24"/>
        </w:rPr>
        <w:t xml:space="preserve"> and no portion of such Florida Series </w:t>
      </w:r>
      <w:r w:rsidR="00981AC0">
        <w:rPr>
          <w:rFonts w:ascii="Century Schoolbook" w:hAnsi="Century Schoolbook" w:cs="Times New Roman"/>
          <w:szCs w:val="24"/>
        </w:rPr>
        <w:t>l</w:t>
      </w:r>
      <w:r w:rsidRPr="00732804">
        <w:rPr>
          <w:rFonts w:ascii="Century Schoolbook" w:hAnsi="Century Schoolbook" w:cs="Times New Roman"/>
          <w:szCs w:val="24"/>
        </w:rPr>
        <w:t xml:space="preserve">imited </w:t>
      </w:r>
      <w:r w:rsidR="00981AC0">
        <w:rPr>
          <w:rFonts w:ascii="Century Schoolbook" w:hAnsi="Century Schoolbook" w:cs="Times New Roman"/>
          <w:szCs w:val="24"/>
        </w:rPr>
        <w:t>l</w:t>
      </w:r>
      <w:r w:rsidRPr="00732804">
        <w:rPr>
          <w:rFonts w:ascii="Century Schoolbook" w:hAnsi="Century Schoolbook" w:cs="Times New Roman"/>
          <w:szCs w:val="24"/>
        </w:rPr>
        <w:t xml:space="preserve">iability </w:t>
      </w:r>
      <w:r w:rsidR="00981AC0">
        <w:rPr>
          <w:rFonts w:ascii="Century Schoolbook" w:hAnsi="Century Schoolbook" w:cs="Times New Roman"/>
          <w:szCs w:val="24"/>
        </w:rPr>
        <w:t>c</w:t>
      </w:r>
      <w:r w:rsidRPr="00732804">
        <w:rPr>
          <w:rFonts w:ascii="Century Schoolbook" w:hAnsi="Century Schoolbook" w:cs="Times New Roman"/>
          <w:szCs w:val="24"/>
        </w:rPr>
        <w:t xml:space="preserve">ompany operating agreement can be oral or implied.  </w:t>
      </w:r>
    </w:p>
    <w:p w14:paraId="49D2BCF3" w14:textId="0DD29603" w:rsidR="00275DF8" w:rsidRDefault="00275DF8" w:rsidP="007E691A">
      <w:pPr>
        <w:rPr>
          <w:rFonts w:ascii="Century Schoolbook" w:hAnsi="Century Schoolbook" w:cs="Times New Roman"/>
          <w:szCs w:val="24"/>
        </w:rPr>
      </w:pPr>
    </w:p>
    <w:p w14:paraId="34A79E51" w14:textId="5D938840" w:rsidR="0045392F" w:rsidRPr="007941DB" w:rsidRDefault="0045392F" w:rsidP="0045392F">
      <w:pPr>
        <w:spacing w:line="276" w:lineRule="auto"/>
        <w:jc w:val="center"/>
        <w:rPr>
          <w:rFonts w:ascii="Century Schoolbook" w:hAnsi="Century Schoolbook" w:cs="Times New Roman"/>
          <w:szCs w:val="24"/>
        </w:rPr>
      </w:pPr>
    </w:p>
    <w:sectPr w:rsidR="0045392F" w:rsidRPr="007941DB" w:rsidSect="002547A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393711" w14:textId="77777777" w:rsidR="0059091F" w:rsidRDefault="0059091F">
      <w:pPr>
        <w:spacing w:after="0"/>
      </w:pPr>
      <w:r>
        <w:separator/>
      </w:r>
    </w:p>
  </w:endnote>
  <w:endnote w:type="continuationSeparator" w:id="0">
    <w:p w14:paraId="565C531E" w14:textId="77777777" w:rsidR="0059091F" w:rsidRDefault="005909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59266232"/>
      <w:docPartObj>
        <w:docPartGallery w:val="Page Numbers (Bottom of Page)"/>
        <w:docPartUnique/>
      </w:docPartObj>
    </w:sdtPr>
    <w:sdtEndPr>
      <w:rPr>
        <w:noProof/>
      </w:rPr>
    </w:sdtEndPr>
    <w:sdtContent>
      <w:p w14:paraId="176AC65F" w14:textId="77777777" w:rsidR="00E4259C" w:rsidRDefault="00682A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48F955" w14:textId="77777777" w:rsidR="00E4259C" w:rsidRDefault="00E42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B4BCF7" w14:textId="77777777" w:rsidR="0059091F" w:rsidRDefault="0059091F" w:rsidP="0081656D">
      <w:pPr>
        <w:spacing w:after="0"/>
      </w:pPr>
      <w:r>
        <w:separator/>
      </w:r>
    </w:p>
  </w:footnote>
  <w:footnote w:type="continuationSeparator" w:id="0">
    <w:p w14:paraId="79825A8E" w14:textId="77777777" w:rsidR="0059091F" w:rsidRDefault="0059091F" w:rsidP="0081656D">
      <w:pPr>
        <w:spacing w:after="0"/>
      </w:pPr>
      <w:r>
        <w:continuationSeparator/>
      </w:r>
    </w:p>
  </w:footnote>
  <w:footnote w:id="1">
    <w:p w14:paraId="4162DEE1" w14:textId="29DEDB81" w:rsidR="00620069" w:rsidRDefault="00682AC0" w:rsidP="00C40B4F">
      <w:pPr>
        <w:pStyle w:val="FootnoteText"/>
      </w:pPr>
      <w:r>
        <w:rPr>
          <w:rStyle w:val="FootnoteReference"/>
        </w:rPr>
        <w:footnoteRef/>
      </w:r>
      <w:r>
        <w:t xml:space="preserve">  </w:t>
      </w:r>
      <w:r w:rsidR="006830E2">
        <w:t xml:space="preserve"> Fla. Stat. §§ 605.0801 and 607.0750</w:t>
      </w:r>
      <w:r>
        <w:t xml:space="preserve"> also recognize</w:t>
      </w:r>
      <w:r w:rsidR="00687B78">
        <w:t xml:space="preserve"> a separate basis for maintaining a direct action</w:t>
      </w:r>
      <w:r>
        <w:t xml:space="preserve">: a plaintiff may bring a direct action where the injury results from a violation of a separate statutory or contractual duty owed to the member or shareholder, even if the injury </w:t>
      </w:r>
      <w:r w:rsidR="00C928BE">
        <w:t>is in whole or in part the same as the injury suffered or threatened to be suffered by the LLC or corporation.</w:t>
      </w:r>
      <w:r w:rsidR="00E76749">
        <w:t xml:space="preserve"> To be clear, the proposed amendment confirms that this separate basis for a direct action also does not require any showing of an actual or threatened special injury.</w:t>
      </w:r>
    </w:p>
  </w:footnote>
  <w:footnote w:id="2">
    <w:p w14:paraId="60C4E95C" w14:textId="77777777" w:rsidR="00620069" w:rsidRDefault="00682AC0">
      <w:pPr>
        <w:pStyle w:val="FootnoteText"/>
      </w:pPr>
      <w:r>
        <w:rPr>
          <w:rStyle w:val="FootnoteReference"/>
        </w:rPr>
        <w:footnoteRef/>
      </w:r>
      <w:r>
        <w:t xml:space="preserve"> The remainder of the FBCA draws on concepts from the Model Business Corporations Act.</w:t>
      </w:r>
    </w:p>
  </w:footnote>
  <w:footnote w:id="3">
    <w:p w14:paraId="5816568E" w14:textId="237B77C7" w:rsidR="00D77C9B" w:rsidRPr="00D77C9B" w:rsidRDefault="00D77C9B">
      <w:pPr>
        <w:pStyle w:val="FootnoteText"/>
      </w:pPr>
      <w:r>
        <w:rPr>
          <w:rStyle w:val="FootnoteReference"/>
        </w:rPr>
        <w:footnoteRef/>
      </w:r>
      <w:r>
        <w:t xml:space="preserve"> </w:t>
      </w:r>
      <w:r w:rsidRPr="00BD75BB">
        <w:rPr>
          <w:i/>
          <w:iCs/>
        </w:rPr>
        <w:t>Strazzulla</w:t>
      </w:r>
      <w:r>
        <w:rPr>
          <w:i/>
          <w:iCs/>
        </w:rPr>
        <w:t xml:space="preserve"> </w:t>
      </w:r>
      <w:r>
        <w:t>was decided in 2015 based on fraud that occurred in 2008.  Thus, § 607.0750, Fla. Stat. did not apply.</w:t>
      </w:r>
    </w:p>
  </w:footnote>
  <w:footnote w:id="4">
    <w:p w14:paraId="2D65CF88" w14:textId="77777777" w:rsidR="00620069" w:rsidRDefault="00682AC0" w:rsidP="0017108D">
      <w:pPr>
        <w:pStyle w:val="FootnoteText"/>
      </w:pPr>
      <w:r w:rsidRPr="00620069">
        <w:rPr>
          <w:rStyle w:val="FootnoteReference"/>
        </w:rPr>
        <w:footnoteRef/>
      </w:r>
      <w:r w:rsidRPr="00620069">
        <w:t xml:space="preserve"> However, notably, Wyoming’s statute does not include the separate statutory or contractual duty exception found in § 605.0801(2)(b)</w:t>
      </w:r>
      <w:r>
        <w:t>.</w:t>
      </w:r>
    </w:p>
  </w:footnote>
  <w:footnote w:id="5">
    <w:p w14:paraId="730F9DC4" w14:textId="53E1E179" w:rsidR="004D2AA2" w:rsidRPr="004D2AA2" w:rsidRDefault="004D2AA2">
      <w:pPr>
        <w:pStyle w:val="FootnoteText"/>
        <w:rPr>
          <w:rFonts w:ascii="Century Schoolbook" w:hAnsi="Century Schoolbook"/>
        </w:rPr>
      </w:pPr>
      <w:r w:rsidRPr="004D2AA2">
        <w:rPr>
          <w:rStyle w:val="FootnoteReference"/>
          <w:rFonts w:ascii="Century Schoolbook" w:hAnsi="Century Schoolbook"/>
        </w:rPr>
        <w:footnoteRef/>
      </w:r>
      <w:r w:rsidRPr="004D2AA2">
        <w:rPr>
          <w:rFonts w:ascii="Century Schoolbook" w:hAnsi="Century Schoolbook"/>
        </w:rPr>
        <w:t xml:space="preserve"> </w:t>
      </w:r>
      <w:r>
        <w:rPr>
          <w:rFonts w:ascii="Century Schoolbook" w:hAnsi="Century Schoolbook"/>
        </w:rPr>
        <w:t xml:space="preserve">Fla. Stat. §§ </w:t>
      </w:r>
      <w:r w:rsidRPr="004D2AA2">
        <w:rPr>
          <w:rFonts w:ascii="Century Schoolbook" w:hAnsi="Century Schoolbook"/>
        </w:rPr>
        <w:t>605.2101 – 605.2802</w:t>
      </w:r>
      <w:r>
        <w:rPr>
          <w:rFonts w:ascii="Century Schoolbook" w:hAnsi="Century Schoolboo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6C961A5"/>
    <w:multiLevelType w:val="multilevel"/>
    <w:tmpl w:val="71E849A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5742231">
    <w:abstractNumId w:val="8"/>
  </w:num>
  <w:num w:numId="2" w16cid:durableId="1877964219">
    <w:abstractNumId w:val="6"/>
  </w:num>
  <w:num w:numId="3" w16cid:durableId="429668009">
    <w:abstractNumId w:val="5"/>
  </w:num>
  <w:num w:numId="4" w16cid:durableId="965237735">
    <w:abstractNumId w:val="4"/>
  </w:num>
  <w:num w:numId="5" w16cid:durableId="51933108">
    <w:abstractNumId w:val="7"/>
  </w:num>
  <w:num w:numId="6" w16cid:durableId="1732079102">
    <w:abstractNumId w:val="3"/>
  </w:num>
  <w:num w:numId="7" w16cid:durableId="1485782052">
    <w:abstractNumId w:val="2"/>
  </w:num>
  <w:num w:numId="8" w16cid:durableId="1524393611">
    <w:abstractNumId w:val="1"/>
  </w:num>
  <w:num w:numId="9" w16cid:durableId="1803503383">
    <w:abstractNumId w:val="0"/>
  </w:num>
  <w:num w:numId="10" w16cid:durableId="1193955582">
    <w:abstractNumId w:val="7"/>
    <w:lvlOverride w:ilvl="0">
      <w:startOverride w:val="1"/>
    </w:lvlOverride>
  </w:num>
  <w:num w:numId="11" w16cid:durableId="138583649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7DC"/>
    <w:rsid w:val="00005DFD"/>
    <w:rsid w:val="000061AB"/>
    <w:rsid w:val="00007133"/>
    <w:rsid w:val="00034616"/>
    <w:rsid w:val="000373ED"/>
    <w:rsid w:val="00045F67"/>
    <w:rsid w:val="00057918"/>
    <w:rsid w:val="0006063C"/>
    <w:rsid w:val="00062D44"/>
    <w:rsid w:val="00065806"/>
    <w:rsid w:val="00071E36"/>
    <w:rsid w:val="000776E6"/>
    <w:rsid w:val="00085543"/>
    <w:rsid w:val="00087085"/>
    <w:rsid w:val="00087A73"/>
    <w:rsid w:val="00096D03"/>
    <w:rsid w:val="000A6998"/>
    <w:rsid w:val="000E0DEE"/>
    <w:rsid w:val="000E6C85"/>
    <w:rsid w:val="000F67CD"/>
    <w:rsid w:val="00103058"/>
    <w:rsid w:val="00104EC0"/>
    <w:rsid w:val="00110DE4"/>
    <w:rsid w:val="001139A2"/>
    <w:rsid w:val="001149DC"/>
    <w:rsid w:val="00142A7E"/>
    <w:rsid w:val="00146FE9"/>
    <w:rsid w:val="0015074B"/>
    <w:rsid w:val="0015075F"/>
    <w:rsid w:val="00157719"/>
    <w:rsid w:val="0017108D"/>
    <w:rsid w:val="00176124"/>
    <w:rsid w:val="00181664"/>
    <w:rsid w:val="001959BB"/>
    <w:rsid w:val="001A6BA5"/>
    <w:rsid w:val="001A6DCE"/>
    <w:rsid w:val="001B65F9"/>
    <w:rsid w:val="001B6CDC"/>
    <w:rsid w:val="001C501D"/>
    <w:rsid w:val="001C71BD"/>
    <w:rsid w:val="001F15A7"/>
    <w:rsid w:val="00201B73"/>
    <w:rsid w:val="00214248"/>
    <w:rsid w:val="00222046"/>
    <w:rsid w:val="0023626F"/>
    <w:rsid w:val="002547A8"/>
    <w:rsid w:val="00257012"/>
    <w:rsid w:val="002570CE"/>
    <w:rsid w:val="00262491"/>
    <w:rsid w:val="0026418D"/>
    <w:rsid w:val="00266755"/>
    <w:rsid w:val="00275DF8"/>
    <w:rsid w:val="00276526"/>
    <w:rsid w:val="002866A2"/>
    <w:rsid w:val="00293EB9"/>
    <w:rsid w:val="002947BB"/>
    <w:rsid w:val="0029639D"/>
    <w:rsid w:val="002A1A91"/>
    <w:rsid w:val="002A428D"/>
    <w:rsid w:val="002A4D5C"/>
    <w:rsid w:val="002C09CB"/>
    <w:rsid w:val="002C313A"/>
    <w:rsid w:val="002D0530"/>
    <w:rsid w:val="002D06BB"/>
    <w:rsid w:val="002D1789"/>
    <w:rsid w:val="002D476A"/>
    <w:rsid w:val="002E4D39"/>
    <w:rsid w:val="002E5CF5"/>
    <w:rsid w:val="002E669B"/>
    <w:rsid w:val="002F2D73"/>
    <w:rsid w:val="002F3E7C"/>
    <w:rsid w:val="003068AE"/>
    <w:rsid w:val="003102F8"/>
    <w:rsid w:val="00312D23"/>
    <w:rsid w:val="00324E07"/>
    <w:rsid w:val="0032667F"/>
    <w:rsid w:val="00326ABC"/>
    <w:rsid w:val="00326F90"/>
    <w:rsid w:val="0035660F"/>
    <w:rsid w:val="003577DB"/>
    <w:rsid w:val="0036536C"/>
    <w:rsid w:val="00365CF1"/>
    <w:rsid w:val="00367D0E"/>
    <w:rsid w:val="0039160A"/>
    <w:rsid w:val="003A508F"/>
    <w:rsid w:val="003A75E9"/>
    <w:rsid w:val="003B2286"/>
    <w:rsid w:val="003F3C2E"/>
    <w:rsid w:val="003F4CAB"/>
    <w:rsid w:val="003F61FB"/>
    <w:rsid w:val="00401E4D"/>
    <w:rsid w:val="004059E5"/>
    <w:rsid w:val="00405F93"/>
    <w:rsid w:val="00407C0A"/>
    <w:rsid w:val="0041132A"/>
    <w:rsid w:val="00411DBA"/>
    <w:rsid w:val="00412769"/>
    <w:rsid w:val="0042173E"/>
    <w:rsid w:val="00425E1C"/>
    <w:rsid w:val="0042752D"/>
    <w:rsid w:val="004304DE"/>
    <w:rsid w:val="0045392F"/>
    <w:rsid w:val="00460251"/>
    <w:rsid w:val="00461B85"/>
    <w:rsid w:val="00467510"/>
    <w:rsid w:val="004722F8"/>
    <w:rsid w:val="00472B11"/>
    <w:rsid w:val="00476769"/>
    <w:rsid w:val="0047704F"/>
    <w:rsid w:val="00487FE0"/>
    <w:rsid w:val="00497DFB"/>
    <w:rsid w:val="004A5BCD"/>
    <w:rsid w:val="004B3999"/>
    <w:rsid w:val="004C0BFD"/>
    <w:rsid w:val="004C3282"/>
    <w:rsid w:val="004C653B"/>
    <w:rsid w:val="004D2AA2"/>
    <w:rsid w:val="004D70A3"/>
    <w:rsid w:val="004F3736"/>
    <w:rsid w:val="004F7A63"/>
    <w:rsid w:val="00503491"/>
    <w:rsid w:val="0050608B"/>
    <w:rsid w:val="00507DAE"/>
    <w:rsid w:val="00514273"/>
    <w:rsid w:val="0052099E"/>
    <w:rsid w:val="00531B7B"/>
    <w:rsid w:val="00536E64"/>
    <w:rsid w:val="005521C9"/>
    <w:rsid w:val="00562654"/>
    <w:rsid w:val="00566EBD"/>
    <w:rsid w:val="00570538"/>
    <w:rsid w:val="00570867"/>
    <w:rsid w:val="00574CF7"/>
    <w:rsid w:val="0057510A"/>
    <w:rsid w:val="0059091F"/>
    <w:rsid w:val="0059441C"/>
    <w:rsid w:val="005A522C"/>
    <w:rsid w:val="005B0157"/>
    <w:rsid w:val="005E27C2"/>
    <w:rsid w:val="005E3760"/>
    <w:rsid w:val="005E3C40"/>
    <w:rsid w:val="005E4D50"/>
    <w:rsid w:val="00614A6E"/>
    <w:rsid w:val="00620069"/>
    <w:rsid w:val="0062086D"/>
    <w:rsid w:val="00622E90"/>
    <w:rsid w:val="006414D2"/>
    <w:rsid w:val="006432C0"/>
    <w:rsid w:val="00647C79"/>
    <w:rsid w:val="00654D70"/>
    <w:rsid w:val="00656D02"/>
    <w:rsid w:val="006609D9"/>
    <w:rsid w:val="006732DA"/>
    <w:rsid w:val="00675EC5"/>
    <w:rsid w:val="00682AC0"/>
    <w:rsid w:val="006830E2"/>
    <w:rsid w:val="00686B79"/>
    <w:rsid w:val="00687B78"/>
    <w:rsid w:val="00691178"/>
    <w:rsid w:val="00697755"/>
    <w:rsid w:val="006B1279"/>
    <w:rsid w:val="006B1313"/>
    <w:rsid w:val="006D039F"/>
    <w:rsid w:val="006D5CA3"/>
    <w:rsid w:val="006E1CA2"/>
    <w:rsid w:val="006E764D"/>
    <w:rsid w:val="00707243"/>
    <w:rsid w:val="007144E9"/>
    <w:rsid w:val="00732804"/>
    <w:rsid w:val="00753B01"/>
    <w:rsid w:val="007607E8"/>
    <w:rsid w:val="00786792"/>
    <w:rsid w:val="00791B80"/>
    <w:rsid w:val="007941DB"/>
    <w:rsid w:val="00795D68"/>
    <w:rsid w:val="007A097C"/>
    <w:rsid w:val="007B419A"/>
    <w:rsid w:val="007C335E"/>
    <w:rsid w:val="007D282F"/>
    <w:rsid w:val="007E691A"/>
    <w:rsid w:val="007E7D1F"/>
    <w:rsid w:val="00807090"/>
    <w:rsid w:val="00810590"/>
    <w:rsid w:val="00810F83"/>
    <w:rsid w:val="0081523A"/>
    <w:rsid w:val="00815426"/>
    <w:rsid w:val="00815C86"/>
    <w:rsid w:val="0081656D"/>
    <w:rsid w:val="00823518"/>
    <w:rsid w:val="00836426"/>
    <w:rsid w:val="008408A5"/>
    <w:rsid w:val="008452E3"/>
    <w:rsid w:val="00874740"/>
    <w:rsid w:val="00875E09"/>
    <w:rsid w:val="0088481C"/>
    <w:rsid w:val="008936A8"/>
    <w:rsid w:val="008956BF"/>
    <w:rsid w:val="00895782"/>
    <w:rsid w:val="008B711E"/>
    <w:rsid w:val="008C324D"/>
    <w:rsid w:val="0091178E"/>
    <w:rsid w:val="00917A3C"/>
    <w:rsid w:val="00936048"/>
    <w:rsid w:val="00936C5A"/>
    <w:rsid w:val="009408CA"/>
    <w:rsid w:val="00975BE8"/>
    <w:rsid w:val="00981AC0"/>
    <w:rsid w:val="00987569"/>
    <w:rsid w:val="00987D59"/>
    <w:rsid w:val="009A7400"/>
    <w:rsid w:val="009B0BCA"/>
    <w:rsid w:val="009B1E48"/>
    <w:rsid w:val="009B5854"/>
    <w:rsid w:val="009B7D44"/>
    <w:rsid w:val="009C2DB7"/>
    <w:rsid w:val="009F7653"/>
    <w:rsid w:val="009F7855"/>
    <w:rsid w:val="00A01732"/>
    <w:rsid w:val="00A06E1F"/>
    <w:rsid w:val="00A21B51"/>
    <w:rsid w:val="00A27F0E"/>
    <w:rsid w:val="00A602E5"/>
    <w:rsid w:val="00A72A7D"/>
    <w:rsid w:val="00A834AF"/>
    <w:rsid w:val="00A83A17"/>
    <w:rsid w:val="00A83A97"/>
    <w:rsid w:val="00A92789"/>
    <w:rsid w:val="00A96954"/>
    <w:rsid w:val="00AA1D8D"/>
    <w:rsid w:val="00AA5A6E"/>
    <w:rsid w:val="00AD267C"/>
    <w:rsid w:val="00AD4F6A"/>
    <w:rsid w:val="00AD60EE"/>
    <w:rsid w:val="00B06AB3"/>
    <w:rsid w:val="00B12FA0"/>
    <w:rsid w:val="00B25BA3"/>
    <w:rsid w:val="00B475E3"/>
    <w:rsid w:val="00B47730"/>
    <w:rsid w:val="00B54B36"/>
    <w:rsid w:val="00B5599E"/>
    <w:rsid w:val="00B7015F"/>
    <w:rsid w:val="00B84965"/>
    <w:rsid w:val="00B97597"/>
    <w:rsid w:val="00B97B2D"/>
    <w:rsid w:val="00BA5146"/>
    <w:rsid w:val="00BB0D09"/>
    <w:rsid w:val="00BB181F"/>
    <w:rsid w:val="00BB3492"/>
    <w:rsid w:val="00BB5B8C"/>
    <w:rsid w:val="00BB6315"/>
    <w:rsid w:val="00BD570B"/>
    <w:rsid w:val="00BD75BB"/>
    <w:rsid w:val="00BE5A2D"/>
    <w:rsid w:val="00C01292"/>
    <w:rsid w:val="00C01AD1"/>
    <w:rsid w:val="00C037DB"/>
    <w:rsid w:val="00C12168"/>
    <w:rsid w:val="00C17D8A"/>
    <w:rsid w:val="00C40B4F"/>
    <w:rsid w:val="00C50D79"/>
    <w:rsid w:val="00C57416"/>
    <w:rsid w:val="00C632D4"/>
    <w:rsid w:val="00C637B7"/>
    <w:rsid w:val="00C81885"/>
    <w:rsid w:val="00C81BC4"/>
    <w:rsid w:val="00C928BE"/>
    <w:rsid w:val="00C95E9D"/>
    <w:rsid w:val="00C96293"/>
    <w:rsid w:val="00CA0942"/>
    <w:rsid w:val="00CA794A"/>
    <w:rsid w:val="00CB0664"/>
    <w:rsid w:val="00CB190B"/>
    <w:rsid w:val="00CB5DF0"/>
    <w:rsid w:val="00CC2848"/>
    <w:rsid w:val="00CD3AD1"/>
    <w:rsid w:val="00D07A6B"/>
    <w:rsid w:val="00D23616"/>
    <w:rsid w:val="00D2590A"/>
    <w:rsid w:val="00D32834"/>
    <w:rsid w:val="00D341F1"/>
    <w:rsid w:val="00D36939"/>
    <w:rsid w:val="00D67E22"/>
    <w:rsid w:val="00D7076C"/>
    <w:rsid w:val="00D72F99"/>
    <w:rsid w:val="00D7462E"/>
    <w:rsid w:val="00D77C9B"/>
    <w:rsid w:val="00D9195F"/>
    <w:rsid w:val="00D93A09"/>
    <w:rsid w:val="00DB6D5E"/>
    <w:rsid w:val="00DC1E9D"/>
    <w:rsid w:val="00DC27A1"/>
    <w:rsid w:val="00DC694A"/>
    <w:rsid w:val="00DD75E4"/>
    <w:rsid w:val="00DE0C99"/>
    <w:rsid w:val="00DE757D"/>
    <w:rsid w:val="00E0714B"/>
    <w:rsid w:val="00E179E8"/>
    <w:rsid w:val="00E373FC"/>
    <w:rsid w:val="00E4259C"/>
    <w:rsid w:val="00E45519"/>
    <w:rsid w:val="00E4637D"/>
    <w:rsid w:val="00E50EDC"/>
    <w:rsid w:val="00E76749"/>
    <w:rsid w:val="00E83B70"/>
    <w:rsid w:val="00E9130C"/>
    <w:rsid w:val="00E92ADE"/>
    <w:rsid w:val="00EC6380"/>
    <w:rsid w:val="00ED0953"/>
    <w:rsid w:val="00ED74F2"/>
    <w:rsid w:val="00EE4ABB"/>
    <w:rsid w:val="00EF0FBA"/>
    <w:rsid w:val="00F01587"/>
    <w:rsid w:val="00F1575A"/>
    <w:rsid w:val="00F16F90"/>
    <w:rsid w:val="00F215E7"/>
    <w:rsid w:val="00F262EA"/>
    <w:rsid w:val="00F2652C"/>
    <w:rsid w:val="00F26B86"/>
    <w:rsid w:val="00F3445E"/>
    <w:rsid w:val="00F42F5A"/>
    <w:rsid w:val="00F6268B"/>
    <w:rsid w:val="00F63F7C"/>
    <w:rsid w:val="00F652A8"/>
    <w:rsid w:val="00F66408"/>
    <w:rsid w:val="00F70A63"/>
    <w:rsid w:val="00F77B3D"/>
    <w:rsid w:val="00F8239E"/>
    <w:rsid w:val="00F83747"/>
    <w:rsid w:val="00F93DDD"/>
    <w:rsid w:val="00F94727"/>
    <w:rsid w:val="00FA30F2"/>
    <w:rsid w:val="00FB35EE"/>
    <w:rsid w:val="00FC6855"/>
    <w:rsid w:val="00FC693F"/>
    <w:rsid w:val="00FE35D3"/>
    <w:rsid w:val="00FE3660"/>
    <w:rsid w:val="00FE52E9"/>
    <w:rsid w:val="00FE5849"/>
    <w:rsid w:val="00FE727A"/>
    <w:rsid w:val="00FF6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17823A"/>
  <w14:defaultImageDpi w14:val="330"/>
  <w15:docId w15:val="{1CF8F454-C67E-4180-8990-F53941C0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240" w:lineRule="auto"/>
      <w:jc w:val="both"/>
    </w:pPr>
    <w:rPr>
      <w:rFonts w:ascii="Times New Roman" w:hAnsi="Times New Roman"/>
      <w:color w:val="000000"/>
      <w:sz w:val="24"/>
    </w:rPr>
  </w:style>
  <w:style w:type="paragraph" w:styleId="Heading1">
    <w:name w:val="heading 1"/>
    <w:basedOn w:val="Normal"/>
    <w:next w:val="Normal"/>
    <w:link w:val="Heading1Char"/>
    <w:uiPriority w:val="9"/>
    <w:qFormat/>
    <w:rsid w:val="00FC693F"/>
    <w:pPr>
      <w:keepNext/>
      <w:keepLines/>
      <w:spacing w:before="480" w:after="0" w:line="360" w:lineRule="auto"/>
      <w:outlineLvl w:val="0"/>
    </w:pPr>
    <w:rPr>
      <w:b/>
      <w:bCs/>
      <w:sz w:val="32"/>
      <w:szCs w:val="28"/>
    </w:rPr>
  </w:style>
  <w:style w:type="paragraph" w:styleId="Heading2">
    <w:name w:val="heading 2"/>
    <w:basedOn w:val="Normal"/>
    <w:next w:val="Normal"/>
    <w:link w:val="Heading2Char"/>
    <w:uiPriority w:val="9"/>
    <w:unhideWhenUsed/>
    <w:qFormat/>
    <w:rsid w:val="00FC693F"/>
    <w:pPr>
      <w:keepNext/>
      <w:keepLines/>
      <w:spacing w:before="200" w:after="0" w:line="360" w:lineRule="auto"/>
      <w:outlineLvl w:val="1"/>
    </w:pPr>
    <w:rPr>
      <w:b/>
      <w:bCs/>
      <w:sz w:val="28"/>
      <w:szCs w:val="26"/>
    </w:rPr>
  </w:style>
  <w:style w:type="paragraph" w:styleId="Heading3">
    <w:name w:val="heading 3"/>
    <w:basedOn w:val="Normal"/>
    <w:next w:val="Normal"/>
    <w:link w:val="Heading3Char"/>
    <w:uiPriority w:val="9"/>
    <w:unhideWhenUsed/>
    <w:qFormat/>
    <w:rsid w:val="00FC693F"/>
    <w:pPr>
      <w:keepNext/>
      <w:keepLines/>
      <w:spacing w:before="200" w:after="0" w:line="360" w:lineRule="auto"/>
      <w:outlineLvl w:val="2"/>
    </w:pPr>
    <w:rPr>
      <w:b/>
      <w:bCs/>
      <w:sz w:val="26"/>
    </w:rPr>
  </w:style>
  <w:style w:type="paragraph" w:styleId="Heading4">
    <w:name w:val="heading 4"/>
    <w:basedOn w:val="Normal"/>
    <w:next w:val="Normal"/>
    <w:link w:val="Heading4Char"/>
    <w:uiPriority w:val="9"/>
    <w:semiHidden/>
    <w:unhideWhenUsed/>
    <w:qFormat/>
    <w:rsid w:val="00FC693F"/>
    <w:pPr>
      <w:keepNext/>
      <w:keepLines/>
      <w:spacing w:before="200" w:after="0" w:line="360" w:lineRule="auto"/>
      <w:outlineLvl w:val="3"/>
    </w:pPr>
    <w:rPr>
      <w:b/>
      <w:bCs/>
      <w:i/>
      <w:iCs/>
    </w:rPr>
  </w:style>
  <w:style w:type="paragraph" w:styleId="Heading5">
    <w:name w:val="heading 5"/>
    <w:basedOn w:val="Normal"/>
    <w:next w:val="Normal"/>
    <w:link w:val="Heading5Char"/>
    <w:uiPriority w:val="9"/>
    <w:semiHidden/>
    <w:unhideWhenUsed/>
    <w:qFormat/>
    <w:rsid w:val="00FC693F"/>
    <w:pPr>
      <w:keepNext/>
      <w:keepLines/>
      <w:spacing w:before="200" w:after="0" w:line="360" w:lineRule="auto"/>
      <w:outlineLvl w:val="4"/>
    </w:pPr>
  </w:style>
  <w:style w:type="paragraph" w:styleId="Heading6">
    <w:name w:val="heading 6"/>
    <w:basedOn w:val="Normal"/>
    <w:next w:val="Normal"/>
    <w:link w:val="Heading6Char"/>
    <w:uiPriority w:val="9"/>
    <w:semiHidden/>
    <w:unhideWhenUsed/>
    <w:qFormat/>
    <w:rsid w:val="00FC693F"/>
    <w:pPr>
      <w:keepNext/>
      <w:keepLines/>
      <w:spacing w:before="200" w:after="0" w:line="360" w:lineRule="auto"/>
      <w:outlineLvl w:val="5"/>
    </w:pPr>
    <w:rPr>
      <w:i/>
      <w:iCs/>
    </w:rPr>
  </w:style>
  <w:style w:type="paragraph" w:styleId="Heading7">
    <w:name w:val="heading 7"/>
    <w:basedOn w:val="Normal"/>
    <w:next w:val="Normal"/>
    <w:link w:val="Heading7Char"/>
    <w:uiPriority w:val="9"/>
    <w:semiHidden/>
    <w:unhideWhenUsed/>
    <w:qFormat/>
    <w:rsid w:val="00FC693F"/>
    <w:pPr>
      <w:keepNext/>
      <w:keepLines/>
      <w:spacing w:before="200" w:after="0" w:line="360" w:lineRule="auto"/>
      <w:outlineLvl w:val="6"/>
    </w:pPr>
    <w:rPr>
      <w:i/>
      <w:iCs/>
    </w:rPr>
  </w:style>
  <w:style w:type="paragraph" w:styleId="Heading8">
    <w:name w:val="heading 8"/>
    <w:basedOn w:val="Normal"/>
    <w:next w:val="Normal"/>
    <w:link w:val="Heading8Char"/>
    <w:uiPriority w:val="9"/>
    <w:semiHidden/>
    <w:unhideWhenUsed/>
    <w:qFormat/>
    <w:rsid w:val="00FC693F"/>
    <w:pPr>
      <w:keepNext/>
      <w:keepLines/>
      <w:spacing w:before="200" w:after="0" w:line="360" w:lineRule="auto"/>
      <w:outlineLvl w:val="7"/>
    </w:pPr>
    <w:rPr>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line="360" w:lineRule="auto"/>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360" w:lineRule="auto"/>
      <w:contextualSpacing/>
    </w:pPr>
    <w:rPr>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line="360" w:lineRule="auto"/>
    </w:pPr>
    <w:rPr>
      <w:i/>
      <w:iCs/>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2E4D39"/>
    <w:pPr>
      <w:spacing w:after="0"/>
    </w:pPr>
    <w:rPr>
      <w:sz w:val="20"/>
      <w:szCs w:val="20"/>
    </w:rPr>
  </w:style>
  <w:style w:type="character" w:customStyle="1" w:styleId="FootnoteTextChar">
    <w:name w:val="Footnote Text Char"/>
    <w:basedOn w:val="DefaultParagraphFont"/>
    <w:link w:val="FootnoteText"/>
    <w:uiPriority w:val="99"/>
    <w:semiHidden/>
    <w:rsid w:val="002E4D39"/>
    <w:rPr>
      <w:rFonts w:ascii="Times New Roman" w:hAnsi="Times New Roman"/>
      <w:color w:val="000000"/>
      <w:sz w:val="20"/>
      <w:szCs w:val="20"/>
    </w:rPr>
  </w:style>
  <w:style w:type="character" w:styleId="FootnoteReference">
    <w:name w:val="footnote reference"/>
    <w:basedOn w:val="DefaultParagraphFont"/>
    <w:uiPriority w:val="99"/>
    <w:semiHidden/>
    <w:unhideWhenUsed/>
    <w:rsid w:val="002E4D39"/>
    <w:rPr>
      <w:vertAlign w:val="superscript"/>
    </w:rPr>
  </w:style>
  <w:style w:type="paragraph" w:styleId="Revision">
    <w:name w:val="Revision"/>
    <w:hidden/>
    <w:uiPriority w:val="99"/>
    <w:semiHidden/>
    <w:rsid w:val="00087A73"/>
    <w:pPr>
      <w:spacing w:after="0" w:line="240" w:lineRule="auto"/>
    </w:pPr>
    <w:rPr>
      <w:rFonts w:ascii="Times New Roman" w:hAnsi="Times New Roman"/>
      <w:color w:val="000000"/>
      <w:sz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11DBA"/>
    <w:rPr>
      <w:b/>
      <w:bCs/>
    </w:rPr>
  </w:style>
  <w:style w:type="character" w:customStyle="1" w:styleId="CommentSubjectChar">
    <w:name w:val="Comment Subject Char"/>
    <w:basedOn w:val="CommentTextChar"/>
    <w:link w:val="CommentSubject"/>
    <w:uiPriority w:val="99"/>
    <w:semiHidden/>
    <w:rsid w:val="00411DBA"/>
    <w:rPr>
      <w:rFonts w:ascii="Times New Roman" w:hAnsi="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BA94C2-49A9-4112-8162-55413F723CE3}">
  <we:reference id="15aacfb1-b0aa-4184-aca4-5fdc2a6854b4" version="1.0.0.4" store="EXCatalog" storeType="excatalog"/>
  <we:alternateReferences>
    <we:reference id="WA200007271" version="1.0.0.4"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www.imanage.com/work/xmlschema">
  <documentid>DMS!26062485.2</documentid>
  <senderid>ZWK1</senderid>
  <senderemail>ZKATZ@TRENAM.COM</senderemail>
  <lastmodified>2026-09-04T15:24:00.0000000-04:00</lastmodified>
  <database>DMS</database>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roperties xmlns="http://www.imanage.com/work/xmlschema">
  <documentid>ACTIVE!543850938.1</documentid>
  <senderid>GMCOHEN</senderid>
  <senderemail>GARRISON.COHEN@HKLAW.COM</senderemail>
  <lastmodified>2026-08-20T19:58:00.0000000-04:00</lastmodified>
  <database>ACTIVE</database>
</properties>
</file>

<file path=customXml/itemProps1.xml><?xml version="1.0" encoding="utf-8"?>
<ds:datastoreItem xmlns:ds="http://schemas.openxmlformats.org/officeDocument/2006/customXml" ds:itemID="{A0D43A57-739F-4041-80F4-31D537E4BA28}">
  <ds:schemaRefs>
    <ds:schemaRef ds:uri="http://www.imanage.com/work/xmlschema"/>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7B6FEBF-3FCC-4F3E-9DBE-432BEF1E0B2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4476</Words>
  <Characters>24445</Characters>
  <Application>Microsoft Office Word</Application>
  <DocSecurity>0</DocSecurity>
  <Lines>388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Notte</cp:lastModifiedBy>
  <cp:revision>2</cp:revision>
  <dcterms:created xsi:type="dcterms:W3CDTF">2026-09-04T19:31:00Z</dcterms:created>
  <dcterms:modified xsi:type="dcterms:W3CDTF">2026-09-04T19:31:00Z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543850938</vt:lpwstr>
  </property>
  <property fmtid="{D5CDD505-2E9C-101B-9397-08002B2CF9AE}" pid="3" name="DocumentVersion">
    <vt:lpwstr>1</vt:lpwstr>
  </property>
  <property fmtid="{D5CDD505-2E9C-101B-9397-08002B2CF9AE}" pid="4" name="ClientNumber">
    <vt:lpwstr>888031</vt:lpwstr>
  </property>
  <property fmtid="{D5CDD505-2E9C-101B-9397-08002B2CF9AE}" pid="5" name="MatterNumber">
    <vt:lpwstr>46086</vt:lpwstr>
  </property>
  <property fmtid="{D5CDD505-2E9C-101B-9397-08002B2CF9AE}" pid="6" name="ClientName">
    <vt:lpwstr>Temporary Unassigned Matters</vt:lpwstr>
  </property>
  <property fmtid="{D5CDD505-2E9C-101B-9397-08002B2CF9AE}" pid="7" name="MatterName">
    <vt:lpwstr>Cohen, Garrison M. Temporary Matter</vt:lpwstr>
  </property>
  <property fmtid="{D5CDD505-2E9C-101B-9397-08002B2CF9AE}" pid="8" name="DatabaseName">
    <vt:lpwstr>ACTIVE</vt:lpwstr>
  </property>
  <property fmtid="{D5CDD505-2E9C-101B-9397-08002B2CF9AE}" pid="9" name="TypistName">
    <vt:lpwstr>GMCOHEN</vt:lpwstr>
  </property>
  <property fmtid="{D5CDD505-2E9C-101B-9397-08002B2CF9AE}" pid="10" name="AuthorName">
    <vt:lpwstr>GMCOHEN</vt:lpwstr>
  </property>
  <property fmtid="{D5CDD505-2E9C-101B-9397-08002B2CF9AE}" pid="11" name="InUseBy">
    <vt:lpwstr/>
  </property>
  <property fmtid="{D5CDD505-2E9C-101B-9397-08002B2CF9AE}" pid="12" name="EditDate">
    <vt:lpwstr>1/1/0001 12:00:00 AM</vt:lpwstr>
  </property>
  <property fmtid="{D5CDD505-2E9C-101B-9397-08002B2CF9AE}" pid="13" name="EditTime">
    <vt:lpwstr/>
  </property>
  <property fmtid="{D5CDD505-2E9C-101B-9397-08002B2CF9AE}" pid="14" name="IsiManageWork">
    <vt:lpwstr>True</vt:lpwstr>
  </property>
</Properties>
</file>